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Subtitle"/>
      </w:pPr>
      <w:r>
        <w:t>ACME INTEGRATED SERVICES GROUP</w:t>
      </w:r>
    </w:p>
    <w:p>
      <w:pPr>
        <w:pStyle w:val="Title"/>
      </w:pPr>
      <w:r>
        <w:t>Executive Decision Paper</w:t>
      </w:r>
    </w:p>
    <w:p>
      <w:pPr>
        <w:pStyle w:val="Subtitle"/>
      </w:pPr>
      <w:r>
        <w:t>Service and Profitability Transformation</w:t>
      </w:r>
    </w:p>
    <w:p>
      <w:r>
        <w:t>See how Acme's Board could compare governance options, assess financial value and consider a staged transformation investment.</w:t>
      </w:r>
    </w:p>
    <w:p>
      <w:r>
        <w:t>Prepared for Board</w:t>
      </w:r>
    </w:p>
    <w:p>
      <w:r>
        <w:t>Case version 1.0</w:t>
        <w:br/>
        <w:t>Evidence cut-off 15 December 2026</w:t>
        <w:br/>
        <w:t>Financial amounts in AED million unless stated otherwise</w:t>
      </w:r>
    </w:p>
    <w:p>
      <w:r>
        <w:t>Fictional demonstration. Acme is a fictional organisation. All figures, people and proposed outcomes are illustrative.</w:t>
      </w:r>
    </w:p>
    <w:p>
      <w:r>
        <w:t>Baseline as at 15 December 2026. All approvals and funding releases remain proposed.</w:t>
      </w:r>
    </w:p>
    <w:p>
      <w:r>
        <w:t>The editable working register accompanies this report. Source IDs refer to embedded exhibits in the supplied Acme Transformation Master Case, not external research or independently verified client records.</w:t>
      </w:r>
    </w:p>
    <w:p>
      <w:r>
        <w:br w:type="page"/>
      </w:r>
    </w:p>
    <w:p>
      <w:pPr>
        <w:pStyle w:val="Heading1"/>
      </w:pPr>
      <w:r>
        <w:t>Decision and proposed conditions</w:t>
      </w:r>
    </w:p>
    <w:p>
      <w:r>
        <w:t>The Board should endorse the service and profitability transformation and the hybrid Transformation Office, subject to a conditional AED 18.00 million envelope. The requested initial release is AED 3.50 million for Q1 mobilisation. The remaining AED 14.50 million remains reserved for evidence-based gates. The proposal is for the fictional Board meeting on 18 December 2026; it records no signed approval.</w:t>
      </w:r>
    </w:p>
    <w:p>
      <w:r>
        <w:t>Acme's operating problem crosses functional boundaries. Contract repricing needs dependable cost and billing data. Scheduling gains depend on common job definitions and trained supervisors. Workforce savings depend on demonstrated service capacity. A hybrid office can coordinate these links while leaving delivery and benefits with the line executives who control them.</w:t>
      </w:r>
    </w:p>
    <w:p>
      <w:r>
        <w:t>The principal condition is cash sufficiency. The programme-only calculation leaves just AED 0.65 million above the policy floor under the unrealistic assumption of zero ordinary business cash movement. The CFO must establish a rolling 13-week forecast covering collections, payroll, debt service, maintenance capex and tax. The Board should treat that missing forecast as a funding condition, not a footnote to an otherwise unconditional approval.</w:t>
      </w:r>
    </w:p>
    <w:tbl>
      <w:tblPr>
        <w:tblW w:type="auto" w:w="0"/>
        <w:jc w:val="center"/>
        <w:tblLayout w:type="fixed"/>
        <w:tblLook w:firstColumn="1" w:firstRow="1" w:lastColumn="0" w:lastRow="0" w:noHBand="0" w:noVBand="1" w:val="04A0"/>
      </w:tblPr>
      <w:tblGrid>
        <w:gridCol w:w="2893"/>
        <w:gridCol w:w="6942"/>
      </w:tblGrid>
      <w:tr>
        <w:trPr>
          <w:cantSplit/>
          <w:tblHeader/>
        </w:trPr>
        <w:tc>
          <w:tcPr>
            <w:tcW w:type="dxa" w:w="2893"/>
            <w:vAlign w:val="center"/>
            <w:shd w:fill="142D43"/>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40" w:before="40" w:line="245" w:lineRule="auto"/>
            </w:pPr>
            <w:r>
              <w:rPr>
                <w:b/>
                <w:color w:val="FFFFFF"/>
                <w:sz w:val="18"/>
              </w:rPr>
              <w:t>Proposed approval</w:t>
            </w:r>
          </w:p>
        </w:tc>
        <w:tc>
          <w:tcPr>
            <w:tcW w:type="dxa" w:w="6942"/>
            <w:vAlign w:val="center"/>
            <w:shd w:fill="142D43"/>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40" w:before="40" w:line="245" w:lineRule="auto"/>
            </w:pPr>
            <w:r>
              <w:rPr>
                <w:b/>
                <w:color w:val="FFFFFF"/>
                <w:sz w:val="18"/>
              </w:rPr>
              <w:t>Boundary</w:t>
            </w:r>
          </w:p>
        </w:tc>
      </w:tr>
      <w:tr>
        <w:trPr>
          <w:cantSplit/>
        </w:trPr>
        <w:tc>
          <w:tcPr>
            <w:tcW w:type="dxa" w:w="2893"/>
            <w:vAlign w:val="center"/>
            <w:shd w:fill="F3F1EC"/>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40" w:before="40" w:line="245" w:lineRule="auto"/>
            </w:pPr>
            <w:r>
              <w:rPr>
                <w:b w:val="0"/>
                <w:color w:val="24323E"/>
                <w:sz w:val="18"/>
              </w:rPr>
              <w:t>Hybrid direction and CEO-sponsored office</w:t>
            </w:r>
          </w:p>
        </w:tc>
        <w:tc>
          <w:tcPr>
            <w:tcW w:type="dxa" w:w="6942"/>
            <w:vAlign w:val="center"/>
            <w:shd w:fill="F3F1EC"/>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40" w:before="40" w:line="245" w:lineRule="auto"/>
            </w:pPr>
            <w:r>
              <w:rPr>
                <w:b w:val="0"/>
                <w:color w:val="24323E"/>
                <w:sz w:val="18"/>
              </w:rPr>
              <w:t>Line leaders retain delivery ownership; Finance validates realised value.</w:t>
            </w:r>
          </w:p>
        </w:tc>
      </w:tr>
      <w:tr>
        <w:trPr>
          <w:cantSplit/>
        </w:trPr>
        <w:tc>
          <w:tcPr>
            <w:tcW w:type="dxa" w:w="2893"/>
            <w:vAlign w:val="center"/>
            <w:shd w:fill="FFFFFF"/>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40" w:before="40" w:line="245" w:lineRule="auto"/>
            </w:pPr>
            <w:r>
              <w:rPr>
                <w:b w:val="0"/>
                <w:color w:val="24323E"/>
                <w:sz w:val="18"/>
              </w:rPr>
              <w:t>18.00 total envelope</w:t>
            </w:r>
          </w:p>
        </w:tc>
        <w:tc>
          <w:tcPr>
            <w:tcW w:type="dxa" w:w="6942"/>
            <w:vAlign w:val="center"/>
            <w:shd w:fill="FFFFFF"/>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40" w:before="40" w:line="245" w:lineRule="auto"/>
            </w:pPr>
            <w:r>
              <w:rPr>
                <w:b w:val="0"/>
                <w:color w:val="24323E"/>
                <w:sz w:val="18"/>
              </w:rPr>
              <w:t>12.00 expense and 6.00 capital; classification requires Finance validation.</w:t>
            </w:r>
          </w:p>
        </w:tc>
      </w:tr>
      <w:tr>
        <w:trPr>
          <w:cantSplit/>
        </w:trPr>
        <w:tc>
          <w:tcPr>
            <w:tcW w:type="dxa" w:w="2893"/>
            <w:vAlign w:val="center"/>
            <w:shd w:fill="F3F1EC"/>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40" w:before="40" w:line="245" w:lineRule="auto"/>
            </w:pPr>
            <w:r>
              <w:rPr>
                <w:b w:val="0"/>
                <w:color w:val="24323E"/>
                <w:sz w:val="18"/>
              </w:rPr>
              <w:t>3.50 mobilisation release</w:t>
            </w:r>
          </w:p>
        </w:tc>
        <w:tc>
          <w:tcPr>
            <w:tcW w:type="dxa" w:w="6942"/>
            <w:vAlign w:val="center"/>
            <w:shd w:fill="F3F1EC"/>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40" w:before="40" w:line="245" w:lineRule="auto"/>
            </w:pPr>
            <w:r>
              <w:rPr>
                <w:b w:val="0"/>
                <w:color w:val="24323E"/>
                <w:sz w:val="18"/>
              </w:rPr>
              <w:t>Document the cash control and named capacity commitments before commitment.</w:t>
            </w:r>
          </w:p>
        </w:tc>
      </w:tr>
      <w:tr>
        <w:trPr>
          <w:cantSplit/>
        </w:trPr>
        <w:tc>
          <w:tcPr>
            <w:tcW w:type="dxa" w:w="2893"/>
            <w:vAlign w:val="center"/>
            <w:shd w:fill="FFFFFF"/>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40" w:before="40" w:line="245" w:lineRule="auto"/>
            </w:pPr>
            <w:r>
              <w:rPr>
                <w:b w:val="0"/>
                <w:color w:val="24323E"/>
                <w:sz w:val="18"/>
              </w:rPr>
              <w:t>Later funding</w:t>
            </w:r>
          </w:p>
        </w:tc>
        <w:tc>
          <w:tcPr>
            <w:tcW w:type="dxa" w:w="6942"/>
            <w:vAlign w:val="center"/>
            <w:shd w:fill="FFFFFF"/>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40" w:before="40" w:line="245" w:lineRule="auto"/>
            </w:pPr>
            <w:r>
              <w:rPr>
                <w:b w:val="0"/>
                <w:color w:val="24323E"/>
                <w:sz w:val="18"/>
              </w:rPr>
              <w:t>Release only against usable baseline, service gates, funded capacity and cash evidence.</w:t>
            </w:r>
          </w:p>
        </w:tc>
      </w:tr>
    </w:tbl>
    <w:p>
      <w:pPr>
        <w:spacing w:after="0" w:line="60" w:lineRule="exact"/>
      </w:pPr>
      <w:r>
        <w:rPr>
          <w:sz w:val="4"/>
        </w:rPr>
        <w:t xml:space="preserve"> </w:t>
      </w:r>
    </w:p>
    <w:p>
      <w:r>
        <w:t>The recommendation is conditional because attractive annual economics do not remove execution risk. The downside requires AED 20.70 million of investment and cannot be authorised through the proposed base envelope. The Board retains that decision and any material scope change.</w:t>
      </w:r>
    </w:p>
    <w:p>
      <w:r>
        <w:rPr>
          <w:i/>
          <w:sz w:val="16"/>
        </w:rPr>
        <w:t>Source: SRC04: Options and recommended approach, section 7; SRC06: Investment and cash, section 9; SRC14: Assumptions and gaps, section 19. All case evidence is fictional.</w:t>
      </w:r>
    </w:p>
    <w:p>
      <w:pPr>
        <w:pStyle w:val="Heading1"/>
        <w:pageBreakBefore/>
      </w:pPr>
      <w:r>
        <w:t>The commercial and operating case</w:t>
      </w:r>
    </w:p>
    <w:p>
      <w:r>
        <w:t>Acme serves 260 business customers through 420 contracts, eight hubs and 1,200 employees. Growth after two acquisitions has left separate service desks, inconsistent job codes and local purchasing. The organisation has retained revenue without developing a common view of cost to serve.</w:t>
      </w:r>
    </w:p>
    <w:p>
      <w:r>
        <w:t>Revenue rises from 204.00 in 2024 to a 240.00 FY2026 forecast, while underlying EBITDA falls from 20.00 to 10.00. Gross profit stays at 62.00, and recurring overhead grows from 42.00 to 52.00. Revenue growth alone therefore does not repair the business. Contract contribution and overhead need distinct interventions.</w:t>
      </w:r>
    </w:p>
    <w:tbl>
      <w:tblPr>
        <w:tblW w:type="auto" w:w="0"/>
        <w:jc w:val="center"/>
        <w:tblLayout w:type="fixed"/>
        <w:tblLook w:firstColumn="1" w:firstRow="1" w:lastColumn="0" w:lastRow="0" w:noHBand="0" w:noVBand="1" w:val="04A0"/>
      </w:tblPr>
      <w:tblGrid>
        <w:gridCol w:w="2754"/>
        <w:gridCol w:w="2754"/>
        <w:gridCol w:w="4327"/>
      </w:tblGrid>
      <w:tr>
        <w:trPr>
          <w:cantSplit/>
          <w:tblHeader/>
        </w:trPr>
        <w:tc>
          <w:tcPr>
            <w:tcW w:type="dxa" w:w="2754"/>
            <w:vAlign w:val="center"/>
            <w:shd w:fill="142D43"/>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40" w:before="40" w:line="245" w:lineRule="auto"/>
            </w:pPr>
            <w:r>
              <w:rPr>
                <w:b/>
                <w:color w:val="FFFFFF"/>
                <w:sz w:val="18"/>
              </w:rPr>
              <w:t>AED million</w:t>
            </w:r>
          </w:p>
        </w:tc>
        <w:tc>
          <w:tcPr>
            <w:tcW w:type="dxa" w:w="2754"/>
            <w:vAlign w:val="center"/>
            <w:shd w:fill="142D43"/>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40" w:before="40" w:line="245" w:lineRule="auto"/>
            </w:pPr>
            <w:r>
              <w:rPr>
                <w:b/>
                <w:color w:val="FFFFFF"/>
                <w:sz w:val="18"/>
              </w:rPr>
              <w:t>FY2024 history</w:t>
            </w:r>
          </w:p>
        </w:tc>
        <w:tc>
          <w:tcPr>
            <w:tcW w:type="dxa" w:w="4327"/>
            <w:vAlign w:val="center"/>
            <w:shd w:fill="142D43"/>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40" w:before="40" w:line="245" w:lineRule="auto"/>
            </w:pPr>
            <w:r>
              <w:rPr>
                <w:b/>
                <w:color w:val="FFFFFF"/>
                <w:sz w:val="18"/>
              </w:rPr>
              <w:t>FY2026 forecast</w:t>
            </w:r>
          </w:p>
        </w:tc>
      </w:tr>
      <w:tr>
        <w:trPr>
          <w:cantSplit/>
        </w:trPr>
        <w:tc>
          <w:tcPr>
            <w:tcW w:type="dxa" w:w="2754"/>
            <w:vAlign w:val="center"/>
            <w:shd w:fill="F3F1EC"/>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40" w:before="40" w:line="245" w:lineRule="auto"/>
            </w:pPr>
            <w:r>
              <w:rPr>
                <w:b w:val="0"/>
                <w:color w:val="24323E"/>
                <w:sz w:val="18"/>
              </w:rPr>
              <w:t>Revenue</w:t>
            </w:r>
          </w:p>
        </w:tc>
        <w:tc>
          <w:tcPr>
            <w:tcW w:type="dxa" w:w="2754"/>
            <w:vAlign w:val="center"/>
            <w:shd w:fill="F3F1EC"/>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40" w:before="40" w:line="245" w:lineRule="auto"/>
            </w:pPr>
            <w:r>
              <w:rPr>
                <w:b w:val="0"/>
                <w:color w:val="24323E"/>
                <w:sz w:val="18"/>
              </w:rPr>
              <w:t>204.00</w:t>
            </w:r>
          </w:p>
        </w:tc>
        <w:tc>
          <w:tcPr>
            <w:tcW w:type="dxa" w:w="4327"/>
            <w:vAlign w:val="center"/>
            <w:shd w:fill="F3F1EC"/>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40" w:before="40" w:line="245" w:lineRule="auto"/>
            </w:pPr>
            <w:r>
              <w:rPr>
                <w:b w:val="0"/>
                <w:color w:val="24323E"/>
                <w:sz w:val="18"/>
              </w:rPr>
              <w:t>240.00</w:t>
            </w:r>
          </w:p>
        </w:tc>
      </w:tr>
      <w:tr>
        <w:trPr>
          <w:cantSplit/>
        </w:trPr>
        <w:tc>
          <w:tcPr>
            <w:tcW w:type="dxa" w:w="2754"/>
            <w:vAlign w:val="center"/>
            <w:shd w:fill="FFFFFF"/>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40" w:before="40" w:line="245" w:lineRule="auto"/>
            </w:pPr>
            <w:r>
              <w:rPr>
                <w:b w:val="0"/>
                <w:color w:val="24323E"/>
                <w:sz w:val="18"/>
              </w:rPr>
              <w:t>Direct costs</w:t>
            </w:r>
          </w:p>
        </w:tc>
        <w:tc>
          <w:tcPr>
            <w:tcW w:type="dxa" w:w="2754"/>
            <w:vAlign w:val="center"/>
            <w:shd w:fill="FFFFFF"/>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40" w:before="40" w:line="245" w:lineRule="auto"/>
            </w:pPr>
            <w:r>
              <w:rPr>
                <w:b w:val="0"/>
                <w:color w:val="24323E"/>
                <w:sz w:val="18"/>
              </w:rPr>
              <w:t>142.00</w:t>
            </w:r>
          </w:p>
        </w:tc>
        <w:tc>
          <w:tcPr>
            <w:tcW w:type="dxa" w:w="4327"/>
            <w:vAlign w:val="center"/>
            <w:shd w:fill="FFFFFF"/>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40" w:before="40" w:line="245" w:lineRule="auto"/>
            </w:pPr>
            <w:r>
              <w:rPr>
                <w:b w:val="0"/>
                <w:color w:val="24323E"/>
                <w:sz w:val="18"/>
              </w:rPr>
              <w:t>178.00</w:t>
            </w:r>
          </w:p>
        </w:tc>
      </w:tr>
      <w:tr>
        <w:trPr>
          <w:cantSplit/>
        </w:trPr>
        <w:tc>
          <w:tcPr>
            <w:tcW w:type="dxa" w:w="2754"/>
            <w:vAlign w:val="center"/>
            <w:shd w:fill="F3F1EC"/>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40" w:before="40" w:line="245" w:lineRule="auto"/>
            </w:pPr>
            <w:r>
              <w:rPr>
                <w:b w:val="0"/>
                <w:color w:val="24323E"/>
                <w:sz w:val="18"/>
              </w:rPr>
              <w:t>Gross profit</w:t>
            </w:r>
          </w:p>
        </w:tc>
        <w:tc>
          <w:tcPr>
            <w:tcW w:type="dxa" w:w="2754"/>
            <w:vAlign w:val="center"/>
            <w:shd w:fill="F3F1EC"/>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40" w:before="40" w:line="245" w:lineRule="auto"/>
            </w:pPr>
            <w:r>
              <w:rPr>
                <w:b w:val="0"/>
                <w:color w:val="24323E"/>
                <w:sz w:val="18"/>
              </w:rPr>
              <w:t>62.00</w:t>
            </w:r>
          </w:p>
        </w:tc>
        <w:tc>
          <w:tcPr>
            <w:tcW w:type="dxa" w:w="4327"/>
            <w:vAlign w:val="center"/>
            <w:shd w:fill="F3F1EC"/>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40" w:before="40" w:line="245" w:lineRule="auto"/>
            </w:pPr>
            <w:r>
              <w:rPr>
                <w:b w:val="0"/>
                <w:color w:val="24323E"/>
                <w:sz w:val="18"/>
              </w:rPr>
              <w:t>62.00</w:t>
            </w:r>
          </w:p>
        </w:tc>
      </w:tr>
      <w:tr>
        <w:trPr>
          <w:cantSplit/>
        </w:trPr>
        <w:tc>
          <w:tcPr>
            <w:tcW w:type="dxa" w:w="2754"/>
            <w:vAlign w:val="center"/>
            <w:shd w:fill="FFFFFF"/>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40" w:before="40" w:line="245" w:lineRule="auto"/>
            </w:pPr>
            <w:r>
              <w:rPr>
                <w:b w:val="0"/>
                <w:color w:val="24323E"/>
                <w:sz w:val="18"/>
              </w:rPr>
              <w:t>Recurring SG&amp;A</w:t>
            </w:r>
          </w:p>
        </w:tc>
        <w:tc>
          <w:tcPr>
            <w:tcW w:type="dxa" w:w="2754"/>
            <w:vAlign w:val="center"/>
            <w:shd w:fill="FFFFFF"/>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40" w:before="40" w:line="245" w:lineRule="auto"/>
            </w:pPr>
            <w:r>
              <w:rPr>
                <w:b w:val="0"/>
                <w:color w:val="24323E"/>
                <w:sz w:val="18"/>
              </w:rPr>
              <w:t>42.00</w:t>
            </w:r>
          </w:p>
        </w:tc>
        <w:tc>
          <w:tcPr>
            <w:tcW w:type="dxa" w:w="4327"/>
            <w:vAlign w:val="center"/>
            <w:shd w:fill="FFFFFF"/>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40" w:before="40" w:line="245" w:lineRule="auto"/>
            </w:pPr>
            <w:r>
              <w:rPr>
                <w:b w:val="0"/>
                <w:color w:val="24323E"/>
                <w:sz w:val="18"/>
              </w:rPr>
              <w:t>52.00</w:t>
            </w:r>
          </w:p>
        </w:tc>
      </w:tr>
      <w:tr>
        <w:trPr>
          <w:cantSplit/>
        </w:trPr>
        <w:tc>
          <w:tcPr>
            <w:tcW w:type="dxa" w:w="2754"/>
            <w:vAlign w:val="center"/>
            <w:shd w:fill="F3F1EC"/>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40" w:before="40" w:line="245" w:lineRule="auto"/>
            </w:pPr>
            <w:r>
              <w:rPr>
                <w:b w:val="0"/>
                <w:color w:val="24323E"/>
                <w:sz w:val="18"/>
              </w:rPr>
              <w:t>Underlying EBITDA</w:t>
            </w:r>
          </w:p>
        </w:tc>
        <w:tc>
          <w:tcPr>
            <w:tcW w:type="dxa" w:w="2754"/>
            <w:vAlign w:val="center"/>
            <w:shd w:fill="F3F1EC"/>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40" w:before="40" w:line="245" w:lineRule="auto"/>
            </w:pPr>
            <w:r>
              <w:rPr>
                <w:b w:val="0"/>
                <w:color w:val="24323E"/>
                <w:sz w:val="18"/>
              </w:rPr>
              <w:t>20.00</w:t>
            </w:r>
          </w:p>
        </w:tc>
        <w:tc>
          <w:tcPr>
            <w:tcW w:type="dxa" w:w="4327"/>
            <w:vAlign w:val="center"/>
            <w:shd w:fill="F3F1EC"/>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40" w:before="40" w:line="245" w:lineRule="auto"/>
            </w:pPr>
            <w:r>
              <w:rPr>
                <w:b w:val="0"/>
                <w:color w:val="24323E"/>
                <w:sz w:val="18"/>
              </w:rPr>
              <w:t>10.00</w:t>
            </w:r>
          </w:p>
        </w:tc>
      </w:tr>
    </w:tbl>
    <w:p>
      <w:pPr>
        <w:spacing w:after="0" w:line="60" w:lineRule="exact"/>
      </w:pPr>
      <w:r>
        <w:rPr>
          <w:sz w:val="4"/>
        </w:rPr>
        <w:t xml:space="preserve"> </w:t>
      </w:r>
    </w:p>
    <w:p>
      <w:r>
        <w:t>Twenty-six contracts produce revenue of 36.00 against direct cost of 39.40. Their 3.40 contribution loss precedes corporate overhead. The proposed exits cover only eight of those contracts; remaining losses still need repair. Allocated corporate overhead is not automatically avoidable when a contract closes.</w:t>
      </w:r>
    </w:p>
    <w:p>
      <w:r>
        <w:t>Service continuity is commercially material. The top ten customers represent 38% of forecast revenue and 72.00 of contracts renew in 2027. Current SLA attainment is 84%, first-time resolution 71% and utilisation 62% under the canonical paid-hours definition. Standardisation must protect scarce maintenance skills and contract-specific commitments.</w:t>
      </w:r>
    </w:p>
    <w:p>
      <w:r>
        <w:rPr>
          <w:i/>
          <w:sz w:val="16"/>
        </w:rPr>
        <w:t>Source: SRC01: Financial baseline and proposed plan, section 4; SRC02: Service lines and operating footprint, section 5; SRC03: Diagnosis and evidence extracts, section 6. All case evidence is fictional.</w:t>
      </w:r>
    </w:p>
    <w:p>
      <w:pPr>
        <w:pStyle w:val="Heading1"/>
        <w:pageBreakBefore/>
      </w:pPr>
      <w:r>
        <w:t>Governance options and sensitivity</w:t>
      </w:r>
    </w:p>
    <w:p>
      <w:r>
        <w:t>Status quo with stronger reporting has low disruption but leaves conflicting authority unresolved. Centralised delivery strengthens enterprise control but risks bottlenecks and weak local accountability. Federated delivery retains responsiveness while making dependency coordination and benefit overlap harder. Hybrid delivery separates enterprise standards and assurance from line execution.</w:t>
      </w:r>
    </w:p>
    <w:tbl>
      <w:tblPr>
        <w:tblW w:type="auto" w:w="0"/>
        <w:jc w:val="center"/>
        <w:tblLayout w:type="fixed"/>
        <w:tblLook w:firstColumn="1" w:firstRow="1" w:lastColumn="0" w:lastRow="0" w:noHBand="0" w:noVBand="1" w:val="04A0"/>
      </w:tblPr>
      <w:tblGrid>
        <w:gridCol w:w="2725"/>
        <w:gridCol w:w="1185"/>
        <w:gridCol w:w="1185"/>
        <w:gridCol w:w="1185"/>
        <w:gridCol w:w="1185"/>
        <w:gridCol w:w="1185"/>
        <w:gridCol w:w="1185"/>
      </w:tblGrid>
      <w:tr>
        <w:trPr>
          <w:cantSplit/>
          <w:tblHeader/>
        </w:trPr>
        <w:tc>
          <w:tcPr>
            <w:tcW w:type="dxa" w:w="2725"/>
            <w:vAlign w:val="center"/>
            <w:shd w:fill="142D43"/>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40" w:before="40" w:line="245" w:lineRule="auto"/>
            </w:pPr>
            <w:r>
              <w:rPr>
                <w:b/>
                <w:color w:val="FFFFFF"/>
                <w:sz w:val="18"/>
              </w:rPr>
              <w:t>Option</w:t>
            </w:r>
          </w:p>
        </w:tc>
        <w:tc>
          <w:tcPr>
            <w:tcW w:type="dxa" w:w="1185"/>
            <w:vAlign w:val="center"/>
            <w:shd w:fill="142D43"/>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40" w:before="40" w:line="245" w:lineRule="auto"/>
            </w:pPr>
            <w:r>
              <w:rPr>
                <w:b/>
                <w:color w:val="FFFFFF"/>
                <w:sz w:val="18"/>
              </w:rPr>
              <w:t>Speed</w:t>
            </w:r>
          </w:p>
        </w:tc>
        <w:tc>
          <w:tcPr>
            <w:tcW w:type="dxa" w:w="1185"/>
            <w:vAlign w:val="center"/>
            <w:shd w:fill="142D43"/>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40" w:before="40" w:line="245" w:lineRule="auto"/>
            </w:pPr>
            <w:r>
              <w:rPr>
                <w:b/>
                <w:color w:val="FFFFFF"/>
                <w:sz w:val="18"/>
              </w:rPr>
              <w:t>Ownership</w:t>
            </w:r>
          </w:p>
        </w:tc>
        <w:tc>
          <w:tcPr>
            <w:tcW w:type="dxa" w:w="1185"/>
            <w:vAlign w:val="center"/>
            <w:shd w:fill="142D43"/>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40" w:before="40" w:line="245" w:lineRule="auto"/>
            </w:pPr>
            <w:r>
              <w:rPr>
                <w:b/>
                <w:color w:val="FFFFFF"/>
                <w:sz w:val="18"/>
              </w:rPr>
              <w:t>Benefit control</w:t>
            </w:r>
          </w:p>
        </w:tc>
        <w:tc>
          <w:tcPr>
            <w:tcW w:type="dxa" w:w="1185"/>
            <w:vAlign w:val="center"/>
            <w:shd w:fill="142D43"/>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40" w:before="40" w:line="245" w:lineRule="auto"/>
            </w:pPr>
            <w:r>
              <w:rPr>
                <w:b/>
                <w:color w:val="FFFFFF"/>
                <w:sz w:val="18"/>
              </w:rPr>
              <w:t>Continuity</w:t>
            </w:r>
          </w:p>
        </w:tc>
        <w:tc>
          <w:tcPr>
            <w:tcW w:type="dxa" w:w="1185"/>
            <w:vAlign w:val="center"/>
            <w:shd w:fill="142D43"/>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40" w:before="40" w:line="245" w:lineRule="auto"/>
            </w:pPr>
            <w:r>
              <w:rPr>
                <w:b/>
                <w:color w:val="FFFFFF"/>
                <w:sz w:val="18"/>
              </w:rPr>
              <w:t>Feasibility</w:t>
            </w:r>
          </w:p>
        </w:tc>
        <w:tc>
          <w:tcPr>
            <w:tcW w:type="dxa" w:w="1185"/>
            <w:vAlign w:val="center"/>
            <w:shd w:fill="142D43"/>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40" w:before="40" w:line="245" w:lineRule="auto"/>
            </w:pPr>
            <w:r>
              <w:rPr>
                <w:b/>
                <w:color w:val="FFFFFF"/>
                <w:sz w:val="18"/>
              </w:rPr>
              <w:t>Weighted score</w:t>
            </w:r>
          </w:p>
        </w:tc>
      </w:tr>
      <w:tr>
        <w:trPr>
          <w:cantSplit/>
        </w:trPr>
        <w:tc>
          <w:tcPr>
            <w:tcW w:type="dxa" w:w="2725"/>
            <w:vAlign w:val="center"/>
            <w:shd w:fill="F3F1EC"/>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40" w:before="40" w:line="245" w:lineRule="auto"/>
            </w:pPr>
            <w:r>
              <w:rPr>
                <w:b w:val="0"/>
                <w:color w:val="24323E"/>
                <w:sz w:val="18"/>
              </w:rPr>
              <w:t>Status quo</w:t>
            </w:r>
          </w:p>
        </w:tc>
        <w:tc>
          <w:tcPr>
            <w:tcW w:type="dxa" w:w="1185"/>
            <w:vAlign w:val="center"/>
            <w:shd w:fill="F3F1EC"/>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40" w:before="40" w:line="245" w:lineRule="auto"/>
            </w:pPr>
            <w:r>
              <w:rPr>
                <w:b w:val="0"/>
                <w:color w:val="24323E"/>
                <w:sz w:val="18"/>
              </w:rPr>
              <w:t>2</w:t>
            </w:r>
          </w:p>
        </w:tc>
        <w:tc>
          <w:tcPr>
            <w:tcW w:type="dxa" w:w="1185"/>
            <w:vAlign w:val="center"/>
            <w:shd w:fill="F3F1EC"/>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40" w:before="40" w:line="245" w:lineRule="auto"/>
            </w:pPr>
            <w:r>
              <w:rPr>
                <w:b w:val="0"/>
                <w:color w:val="24323E"/>
                <w:sz w:val="18"/>
              </w:rPr>
              <w:t>3</w:t>
            </w:r>
          </w:p>
        </w:tc>
        <w:tc>
          <w:tcPr>
            <w:tcW w:type="dxa" w:w="1185"/>
            <w:vAlign w:val="center"/>
            <w:shd w:fill="F3F1EC"/>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40" w:before="40" w:line="245" w:lineRule="auto"/>
            </w:pPr>
            <w:r>
              <w:rPr>
                <w:b w:val="0"/>
                <w:color w:val="24323E"/>
                <w:sz w:val="18"/>
              </w:rPr>
              <w:t>1</w:t>
            </w:r>
          </w:p>
        </w:tc>
        <w:tc>
          <w:tcPr>
            <w:tcW w:type="dxa" w:w="1185"/>
            <w:vAlign w:val="center"/>
            <w:shd w:fill="F3F1EC"/>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40" w:before="40" w:line="245" w:lineRule="auto"/>
            </w:pPr>
            <w:r>
              <w:rPr>
                <w:b w:val="0"/>
                <w:color w:val="24323E"/>
                <w:sz w:val="18"/>
              </w:rPr>
              <w:t>3</w:t>
            </w:r>
          </w:p>
        </w:tc>
        <w:tc>
          <w:tcPr>
            <w:tcW w:type="dxa" w:w="1185"/>
            <w:vAlign w:val="center"/>
            <w:shd w:fill="F3F1EC"/>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40" w:before="40" w:line="245" w:lineRule="auto"/>
            </w:pPr>
            <w:r>
              <w:rPr>
                <w:b w:val="0"/>
                <w:color w:val="24323E"/>
                <w:sz w:val="18"/>
              </w:rPr>
              <w:t>4</w:t>
            </w:r>
          </w:p>
        </w:tc>
        <w:tc>
          <w:tcPr>
            <w:tcW w:type="dxa" w:w="1185"/>
            <w:vAlign w:val="center"/>
            <w:shd w:fill="F3F1EC"/>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40" w:before="40" w:line="245" w:lineRule="auto"/>
            </w:pPr>
            <w:r>
              <w:rPr>
                <w:b w:val="0"/>
                <w:color w:val="24323E"/>
                <w:sz w:val="18"/>
              </w:rPr>
              <w:t>2.45</w:t>
            </w:r>
          </w:p>
        </w:tc>
      </w:tr>
      <w:tr>
        <w:trPr>
          <w:cantSplit/>
        </w:trPr>
        <w:tc>
          <w:tcPr>
            <w:tcW w:type="dxa" w:w="2725"/>
            <w:vAlign w:val="center"/>
            <w:shd w:fill="FFFFFF"/>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40" w:before="40" w:line="245" w:lineRule="auto"/>
            </w:pPr>
            <w:r>
              <w:rPr>
                <w:b w:val="0"/>
                <w:color w:val="24323E"/>
                <w:sz w:val="18"/>
              </w:rPr>
              <w:t>Centralised</w:t>
            </w:r>
          </w:p>
        </w:tc>
        <w:tc>
          <w:tcPr>
            <w:tcW w:type="dxa" w:w="1185"/>
            <w:vAlign w:val="center"/>
            <w:shd w:fill="FFFFFF"/>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40" w:before="40" w:line="245" w:lineRule="auto"/>
            </w:pPr>
            <w:r>
              <w:rPr>
                <w:b w:val="0"/>
                <w:color w:val="24323E"/>
                <w:sz w:val="18"/>
              </w:rPr>
              <w:t>4</w:t>
            </w:r>
          </w:p>
        </w:tc>
        <w:tc>
          <w:tcPr>
            <w:tcW w:type="dxa" w:w="1185"/>
            <w:vAlign w:val="center"/>
            <w:shd w:fill="FFFFFF"/>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40" w:before="40" w:line="245" w:lineRule="auto"/>
            </w:pPr>
            <w:r>
              <w:rPr>
                <w:b w:val="0"/>
                <w:color w:val="24323E"/>
                <w:sz w:val="18"/>
              </w:rPr>
              <w:t>2</w:t>
            </w:r>
          </w:p>
        </w:tc>
        <w:tc>
          <w:tcPr>
            <w:tcW w:type="dxa" w:w="1185"/>
            <w:vAlign w:val="center"/>
            <w:shd w:fill="FFFFFF"/>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40" w:before="40" w:line="245" w:lineRule="auto"/>
            </w:pPr>
            <w:r>
              <w:rPr>
                <w:b w:val="0"/>
                <w:color w:val="24323E"/>
                <w:sz w:val="18"/>
              </w:rPr>
              <w:t>5</w:t>
            </w:r>
          </w:p>
        </w:tc>
        <w:tc>
          <w:tcPr>
            <w:tcW w:type="dxa" w:w="1185"/>
            <w:vAlign w:val="center"/>
            <w:shd w:fill="FFFFFF"/>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40" w:before="40" w:line="245" w:lineRule="auto"/>
            </w:pPr>
            <w:r>
              <w:rPr>
                <w:b w:val="0"/>
                <w:color w:val="24323E"/>
                <w:sz w:val="18"/>
              </w:rPr>
              <w:t>2</w:t>
            </w:r>
          </w:p>
        </w:tc>
        <w:tc>
          <w:tcPr>
            <w:tcW w:type="dxa" w:w="1185"/>
            <w:vAlign w:val="center"/>
            <w:shd w:fill="FFFFFF"/>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40" w:before="40" w:line="245" w:lineRule="auto"/>
            </w:pPr>
            <w:r>
              <w:rPr>
                <w:b w:val="0"/>
                <w:color w:val="24323E"/>
                <w:sz w:val="18"/>
              </w:rPr>
              <w:t>2</w:t>
            </w:r>
          </w:p>
        </w:tc>
        <w:tc>
          <w:tcPr>
            <w:tcW w:type="dxa" w:w="1185"/>
            <w:vAlign w:val="center"/>
            <w:shd w:fill="FFFFFF"/>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40" w:before="40" w:line="245" w:lineRule="auto"/>
            </w:pPr>
            <w:r>
              <w:rPr>
                <w:b w:val="0"/>
                <w:color w:val="24323E"/>
                <w:sz w:val="18"/>
              </w:rPr>
              <w:t>3.15</w:t>
            </w:r>
          </w:p>
        </w:tc>
      </w:tr>
      <w:tr>
        <w:trPr>
          <w:cantSplit/>
        </w:trPr>
        <w:tc>
          <w:tcPr>
            <w:tcW w:type="dxa" w:w="2725"/>
            <w:vAlign w:val="center"/>
            <w:shd w:fill="F3F1EC"/>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40" w:before="40" w:line="245" w:lineRule="auto"/>
            </w:pPr>
            <w:r>
              <w:rPr>
                <w:b w:val="0"/>
                <w:color w:val="24323E"/>
                <w:sz w:val="18"/>
              </w:rPr>
              <w:t>Federated</w:t>
            </w:r>
          </w:p>
        </w:tc>
        <w:tc>
          <w:tcPr>
            <w:tcW w:type="dxa" w:w="1185"/>
            <w:vAlign w:val="center"/>
            <w:shd w:fill="F3F1EC"/>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40" w:before="40" w:line="245" w:lineRule="auto"/>
            </w:pPr>
            <w:r>
              <w:rPr>
                <w:b w:val="0"/>
                <w:color w:val="24323E"/>
                <w:sz w:val="18"/>
              </w:rPr>
              <w:t>3</w:t>
            </w:r>
          </w:p>
        </w:tc>
        <w:tc>
          <w:tcPr>
            <w:tcW w:type="dxa" w:w="1185"/>
            <w:vAlign w:val="center"/>
            <w:shd w:fill="F3F1EC"/>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40" w:before="40" w:line="245" w:lineRule="auto"/>
            </w:pPr>
            <w:r>
              <w:rPr>
                <w:b w:val="0"/>
                <w:color w:val="24323E"/>
                <w:sz w:val="18"/>
              </w:rPr>
              <w:t>5</w:t>
            </w:r>
          </w:p>
        </w:tc>
        <w:tc>
          <w:tcPr>
            <w:tcW w:type="dxa" w:w="1185"/>
            <w:vAlign w:val="center"/>
            <w:shd w:fill="F3F1EC"/>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40" w:before="40" w:line="245" w:lineRule="auto"/>
            </w:pPr>
            <w:r>
              <w:rPr>
                <w:b w:val="0"/>
                <w:color w:val="24323E"/>
                <w:sz w:val="18"/>
              </w:rPr>
              <w:t>2</w:t>
            </w:r>
          </w:p>
        </w:tc>
        <w:tc>
          <w:tcPr>
            <w:tcW w:type="dxa" w:w="1185"/>
            <w:vAlign w:val="center"/>
            <w:shd w:fill="F3F1EC"/>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40" w:before="40" w:line="245" w:lineRule="auto"/>
            </w:pPr>
            <w:r>
              <w:rPr>
                <w:b w:val="0"/>
                <w:color w:val="24323E"/>
                <w:sz w:val="18"/>
              </w:rPr>
              <w:t>4</w:t>
            </w:r>
          </w:p>
        </w:tc>
        <w:tc>
          <w:tcPr>
            <w:tcW w:type="dxa" w:w="1185"/>
            <w:vAlign w:val="center"/>
            <w:shd w:fill="F3F1EC"/>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40" w:before="40" w:line="245" w:lineRule="auto"/>
            </w:pPr>
            <w:r>
              <w:rPr>
                <w:b w:val="0"/>
                <w:color w:val="24323E"/>
                <w:sz w:val="18"/>
              </w:rPr>
              <w:t>4</w:t>
            </w:r>
          </w:p>
        </w:tc>
        <w:tc>
          <w:tcPr>
            <w:tcW w:type="dxa" w:w="1185"/>
            <w:vAlign w:val="center"/>
            <w:shd w:fill="F3F1EC"/>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40" w:before="40" w:line="245" w:lineRule="auto"/>
            </w:pPr>
            <w:r>
              <w:rPr>
                <w:b w:val="0"/>
                <w:color w:val="24323E"/>
                <w:sz w:val="18"/>
              </w:rPr>
              <w:t>3.50</w:t>
            </w:r>
          </w:p>
        </w:tc>
      </w:tr>
      <w:tr>
        <w:trPr>
          <w:cantSplit/>
        </w:trPr>
        <w:tc>
          <w:tcPr>
            <w:tcW w:type="dxa" w:w="2725"/>
            <w:vAlign w:val="center"/>
            <w:shd w:fill="FFFFFF"/>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40" w:before="40" w:line="245" w:lineRule="auto"/>
            </w:pPr>
            <w:r>
              <w:rPr>
                <w:b w:val="0"/>
                <w:color w:val="24323E"/>
                <w:sz w:val="18"/>
              </w:rPr>
              <w:t>Hybrid</w:t>
            </w:r>
          </w:p>
        </w:tc>
        <w:tc>
          <w:tcPr>
            <w:tcW w:type="dxa" w:w="1185"/>
            <w:vAlign w:val="center"/>
            <w:shd w:fill="FFFFFF"/>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40" w:before="40" w:line="245" w:lineRule="auto"/>
            </w:pPr>
            <w:r>
              <w:rPr>
                <w:b w:val="0"/>
                <w:color w:val="24323E"/>
                <w:sz w:val="18"/>
              </w:rPr>
              <w:t>4</w:t>
            </w:r>
          </w:p>
        </w:tc>
        <w:tc>
          <w:tcPr>
            <w:tcW w:type="dxa" w:w="1185"/>
            <w:vAlign w:val="center"/>
            <w:shd w:fill="FFFFFF"/>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40" w:before="40" w:line="245" w:lineRule="auto"/>
            </w:pPr>
            <w:r>
              <w:rPr>
                <w:b w:val="0"/>
                <w:color w:val="24323E"/>
                <w:sz w:val="18"/>
              </w:rPr>
              <w:t>4</w:t>
            </w:r>
          </w:p>
        </w:tc>
        <w:tc>
          <w:tcPr>
            <w:tcW w:type="dxa" w:w="1185"/>
            <w:vAlign w:val="center"/>
            <w:shd w:fill="FFFFFF"/>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40" w:before="40" w:line="245" w:lineRule="auto"/>
            </w:pPr>
            <w:r>
              <w:rPr>
                <w:b w:val="0"/>
                <w:color w:val="24323E"/>
                <w:sz w:val="18"/>
              </w:rPr>
              <w:t>4</w:t>
            </w:r>
          </w:p>
        </w:tc>
        <w:tc>
          <w:tcPr>
            <w:tcW w:type="dxa" w:w="1185"/>
            <w:vAlign w:val="center"/>
            <w:shd w:fill="FFFFFF"/>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40" w:before="40" w:line="245" w:lineRule="auto"/>
            </w:pPr>
            <w:r>
              <w:rPr>
                <w:b w:val="0"/>
                <w:color w:val="24323E"/>
                <w:sz w:val="18"/>
              </w:rPr>
              <w:t>4</w:t>
            </w:r>
          </w:p>
        </w:tc>
        <w:tc>
          <w:tcPr>
            <w:tcW w:type="dxa" w:w="1185"/>
            <w:vAlign w:val="center"/>
            <w:shd w:fill="FFFFFF"/>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40" w:before="40" w:line="245" w:lineRule="auto"/>
            </w:pPr>
            <w:r>
              <w:rPr>
                <w:b w:val="0"/>
                <w:color w:val="24323E"/>
                <w:sz w:val="18"/>
              </w:rPr>
              <w:t>3</w:t>
            </w:r>
          </w:p>
        </w:tc>
        <w:tc>
          <w:tcPr>
            <w:tcW w:type="dxa" w:w="1185"/>
            <w:vAlign w:val="center"/>
            <w:shd w:fill="FFFFFF"/>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40" w:before="40" w:line="245" w:lineRule="auto"/>
            </w:pPr>
            <w:r>
              <w:rPr>
                <w:b w:val="0"/>
                <w:color w:val="24323E"/>
                <w:sz w:val="18"/>
              </w:rPr>
              <w:t>3.85</w:t>
            </w:r>
          </w:p>
        </w:tc>
      </w:tr>
    </w:tbl>
    <w:p>
      <w:pPr>
        <w:spacing w:after="0" w:line="60" w:lineRule="exact"/>
      </w:pPr>
      <w:r>
        <w:rPr>
          <w:sz w:val="4"/>
        </w:rPr>
        <w:t xml:space="preserve"> </w:t>
      </w:r>
    </w:p>
    <w:p>
      <w:r>
        <w:t>The illustrative weights are execution speed 20%, business ownership 20%, benefit control 25%, service continuity 20% and feasibility 15%. Scores are management judgements on a 1-5 scale. Hybrid scores 3.85, followed by federated at 3.50. These scores structure the discussion; they are not measured benchmarks or fully costed business cases for all four options.</w:t>
      </w:r>
    </w:p>
    <w:p>
      <w:r>
        <w:t>The recommendation is sensitive to ownership preference. Reducing benefit control to 15% and raising ownership to 30% brings federated to 3.80 against hybrid at 3.85. At 10% benefit control and 35% ownership, federated reaches 3.95 and exceeds hybrid. The Board should record why enterprise assurance is worth the additional coordination effort.</w:t>
      </w:r>
    </w:p>
    <w:p>
      <w:r>
        <w:t>Reconsider the model if leaders will not release capacity, Finance cannot establish a usable baseline or the diagnostic shows materially fewer cross-functional dependencies. An office chart cannot compensate for any of those failures.</w:t>
      </w:r>
    </w:p>
    <w:p>
      <w:r>
        <w:rPr>
          <w:i/>
          <w:sz w:val="16"/>
        </w:rPr>
        <w:t>Source: SRC04: Options and recommended approach, section 7. All case evidence is fictional.</w:t>
      </w:r>
    </w:p>
    <w:p>
      <w:pPr>
        <w:pStyle w:val="Heading1"/>
        <w:pageBreakBefore/>
      </w:pPr>
      <w:r>
        <w:t>The reconciled financial case</w:t>
      </w:r>
    </w:p>
    <w:p>
      <w:r>
        <w:t>The exit bridge is 10.00 baseline underlying EBITDA plus 29.00 gross annual benefit less 3.00 recurring enablement cost, giving 36.00. Revenue at exit is 250.80: baseline 240.00 plus repricing 4.80 plus cross-sell revenue 12.00 less exited revenue 6.00. Cross-sell contributes 4.20 of profit, not its full revenue.</w:t>
      </w:r>
    </w:p>
    <w:tbl>
      <w:tblPr>
        <w:tblW w:type="auto" w:w="0"/>
        <w:jc w:val="center"/>
        <w:tblLayout w:type="fixed"/>
        <w:tblLook w:firstColumn="1" w:firstRow="1" w:lastColumn="0" w:lastRow="0" w:noHBand="0" w:noVBand="1" w:val="04A0"/>
      </w:tblPr>
      <w:tblGrid>
        <w:gridCol w:w="4268"/>
        <w:gridCol w:w="1856"/>
        <w:gridCol w:w="1856"/>
        <w:gridCol w:w="1856"/>
      </w:tblGrid>
      <w:tr>
        <w:trPr>
          <w:cantSplit/>
          <w:tblHeader/>
        </w:trPr>
        <w:tc>
          <w:tcPr>
            <w:tcW w:type="dxa" w:w="4268"/>
            <w:vAlign w:val="center"/>
            <w:shd w:fill="142D43"/>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40" w:before="40" w:line="245" w:lineRule="auto"/>
            </w:pPr>
            <w:r>
              <w:rPr>
                <w:b/>
                <w:color w:val="FFFFFF"/>
                <w:sz w:val="18"/>
              </w:rPr>
              <w:t>ID and benefit</w:t>
            </w:r>
          </w:p>
        </w:tc>
        <w:tc>
          <w:tcPr>
            <w:tcW w:type="dxa" w:w="1856"/>
            <w:vAlign w:val="center"/>
            <w:shd w:fill="142D43"/>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40" w:before="40" w:line="245" w:lineRule="auto"/>
            </w:pPr>
            <w:r>
              <w:rPr>
                <w:b/>
                <w:color w:val="FFFFFF"/>
                <w:sz w:val="18"/>
              </w:rPr>
              <w:t>2027 benefit</w:t>
            </w:r>
          </w:p>
        </w:tc>
        <w:tc>
          <w:tcPr>
            <w:tcW w:type="dxa" w:w="1856"/>
            <w:vAlign w:val="center"/>
            <w:shd w:fill="142D43"/>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40" w:before="40" w:line="245" w:lineRule="auto"/>
            </w:pPr>
            <w:r>
              <w:rPr>
                <w:b/>
                <w:color w:val="FFFFFF"/>
                <w:sz w:val="18"/>
              </w:rPr>
              <w:t>2028 benefit</w:t>
            </w:r>
          </w:p>
        </w:tc>
        <w:tc>
          <w:tcPr>
            <w:tcW w:type="dxa" w:w="1856"/>
            <w:vAlign w:val="center"/>
            <w:shd w:fill="142D43"/>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40" w:before="40" w:line="245" w:lineRule="auto"/>
            </w:pPr>
            <w:r>
              <w:rPr>
                <w:b/>
                <w:color w:val="FFFFFF"/>
                <w:sz w:val="18"/>
              </w:rPr>
              <w:t>Exit annual benefit</w:t>
            </w:r>
          </w:p>
        </w:tc>
      </w:tr>
      <w:tr>
        <w:trPr>
          <w:cantSplit/>
        </w:trPr>
        <w:tc>
          <w:tcPr>
            <w:tcW w:type="dxa" w:w="4268"/>
            <w:vAlign w:val="center"/>
            <w:shd w:fill="F3F1EC"/>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40" w:before="40" w:line="245" w:lineRule="auto"/>
            </w:pPr>
            <w:r>
              <w:rPr>
                <w:b w:val="0"/>
                <w:color w:val="24323E"/>
                <w:sz w:val="18"/>
              </w:rPr>
              <w:t>B01 Contract repricing</w:t>
            </w:r>
          </w:p>
        </w:tc>
        <w:tc>
          <w:tcPr>
            <w:tcW w:type="dxa" w:w="1856"/>
            <w:vAlign w:val="center"/>
            <w:shd w:fill="F3F1EC"/>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40" w:before="40" w:line="245" w:lineRule="auto"/>
            </w:pPr>
            <w:r>
              <w:rPr>
                <w:b w:val="0"/>
                <w:color w:val="24323E"/>
                <w:sz w:val="18"/>
              </w:rPr>
              <w:t>2.40</w:t>
            </w:r>
          </w:p>
        </w:tc>
        <w:tc>
          <w:tcPr>
            <w:tcW w:type="dxa" w:w="1856"/>
            <w:vAlign w:val="center"/>
            <w:shd w:fill="F3F1EC"/>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40" w:before="40" w:line="245" w:lineRule="auto"/>
            </w:pPr>
            <w:r>
              <w:rPr>
                <w:b w:val="0"/>
                <w:color w:val="24323E"/>
                <w:sz w:val="18"/>
              </w:rPr>
              <w:t>4.32</w:t>
            </w:r>
          </w:p>
        </w:tc>
        <w:tc>
          <w:tcPr>
            <w:tcW w:type="dxa" w:w="1856"/>
            <w:vAlign w:val="center"/>
            <w:shd w:fill="F3F1EC"/>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40" w:before="40" w:line="245" w:lineRule="auto"/>
            </w:pPr>
            <w:r>
              <w:rPr>
                <w:b w:val="0"/>
                <w:color w:val="24323E"/>
                <w:sz w:val="18"/>
              </w:rPr>
              <w:t>4.80</w:t>
            </w:r>
          </w:p>
        </w:tc>
      </w:tr>
      <w:tr>
        <w:trPr>
          <w:cantSplit/>
        </w:trPr>
        <w:tc>
          <w:tcPr>
            <w:tcW w:type="dxa" w:w="4268"/>
            <w:vAlign w:val="center"/>
            <w:shd w:fill="FFFFFF"/>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40" w:before="40" w:line="245" w:lineRule="auto"/>
            </w:pPr>
            <w:r>
              <w:rPr>
                <w:b w:val="0"/>
                <w:color w:val="24323E"/>
                <w:sz w:val="18"/>
              </w:rPr>
              <w:t>B02 Cross-sell to existing customers</w:t>
            </w:r>
          </w:p>
        </w:tc>
        <w:tc>
          <w:tcPr>
            <w:tcW w:type="dxa" w:w="1856"/>
            <w:vAlign w:val="center"/>
            <w:shd w:fill="FFFFFF"/>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40" w:before="40" w:line="245" w:lineRule="auto"/>
            </w:pPr>
            <w:r>
              <w:rPr>
                <w:b w:val="0"/>
                <w:color w:val="24323E"/>
                <w:sz w:val="18"/>
              </w:rPr>
              <w:t>1.05</w:t>
            </w:r>
          </w:p>
        </w:tc>
        <w:tc>
          <w:tcPr>
            <w:tcW w:type="dxa" w:w="1856"/>
            <w:vAlign w:val="center"/>
            <w:shd w:fill="FFFFFF"/>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40" w:before="40" w:line="245" w:lineRule="auto"/>
            </w:pPr>
            <w:r>
              <w:rPr>
                <w:b w:val="0"/>
                <w:color w:val="24323E"/>
                <w:sz w:val="18"/>
              </w:rPr>
              <w:t>3.15</w:t>
            </w:r>
          </w:p>
        </w:tc>
        <w:tc>
          <w:tcPr>
            <w:tcW w:type="dxa" w:w="1856"/>
            <w:vAlign w:val="center"/>
            <w:shd w:fill="FFFFFF"/>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40" w:before="40" w:line="245" w:lineRule="auto"/>
            </w:pPr>
            <w:r>
              <w:rPr>
                <w:b w:val="0"/>
                <w:color w:val="24323E"/>
                <w:sz w:val="18"/>
              </w:rPr>
              <w:t>4.20</w:t>
            </w:r>
          </w:p>
        </w:tc>
      </w:tr>
      <w:tr>
        <w:trPr>
          <w:cantSplit/>
        </w:trPr>
        <w:tc>
          <w:tcPr>
            <w:tcW w:type="dxa" w:w="4268"/>
            <w:vAlign w:val="center"/>
            <w:shd w:fill="F3F1EC"/>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40" w:before="40" w:line="245" w:lineRule="auto"/>
            </w:pPr>
            <w:r>
              <w:rPr>
                <w:b w:val="0"/>
                <w:color w:val="24323E"/>
                <w:sz w:val="18"/>
              </w:rPr>
              <w:t>B03 Exit selected loss-making scope</w:t>
            </w:r>
          </w:p>
        </w:tc>
        <w:tc>
          <w:tcPr>
            <w:tcW w:type="dxa" w:w="1856"/>
            <w:vAlign w:val="center"/>
            <w:shd w:fill="F3F1EC"/>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40" w:before="40" w:line="245" w:lineRule="auto"/>
            </w:pPr>
            <w:r>
              <w:rPr>
                <w:b w:val="0"/>
                <w:color w:val="24323E"/>
                <w:sz w:val="18"/>
              </w:rPr>
              <w:t>0.25</w:t>
            </w:r>
          </w:p>
        </w:tc>
        <w:tc>
          <w:tcPr>
            <w:tcW w:type="dxa" w:w="1856"/>
            <w:vAlign w:val="center"/>
            <w:shd w:fill="F3F1EC"/>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40" w:before="40" w:line="245" w:lineRule="auto"/>
            </w:pPr>
            <w:r>
              <w:rPr>
                <w:b w:val="0"/>
                <w:color w:val="24323E"/>
                <w:sz w:val="18"/>
              </w:rPr>
              <w:t>0.75</w:t>
            </w:r>
          </w:p>
        </w:tc>
        <w:tc>
          <w:tcPr>
            <w:tcW w:type="dxa" w:w="1856"/>
            <w:vAlign w:val="center"/>
            <w:shd w:fill="F3F1EC"/>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40" w:before="40" w:line="245" w:lineRule="auto"/>
            </w:pPr>
            <w:r>
              <w:rPr>
                <w:b w:val="0"/>
                <w:color w:val="24323E"/>
                <w:sz w:val="18"/>
              </w:rPr>
              <w:t>1.00</w:t>
            </w:r>
          </w:p>
        </w:tc>
      </w:tr>
      <w:tr>
        <w:trPr>
          <w:cantSplit/>
        </w:trPr>
        <w:tc>
          <w:tcPr>
            <w:tcW w:type="dxa" w:w="4268"/>
            <w:vAlign w:val="center"/>
            <w:shd w:fill="FFFFFF"/>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40" w:before="40" w:line="245" w:lineRule="auto"/>
            </w:pPr>
            <w:r>
              <w:rPr>
                <w:b w:val="0"/>
                <w:color w:val="24323E"/>
                <w:sz w:val="18"/>
              </w:rPr>
              <w:t>B04 Cashable workforce productivity</w:t>
            </w:r>
          </w:p>
        </w:tc>
        <w:tc>
          <w:tcPr>
            <w:tcW w:type="dxa" w:w="1856"/>
            <w:vAlign w:val="center"/>
            <w:shd w:fill="FFFFFF"/>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40" w:before="40" w:line="245" w:lineRule="auto"/>
            </w:pPr>
            <w:r>
              <w:rPr>
                <w:b w:val="0"/>
                <w:color w:val="24323E"/>
                <w:sz w:val="18"/>
              </w:rPr>
              <w:t>2.40</w:t>
            </w:r>
          </w:p>
        </w:tc>
        <w:tc>
          <w:tcPr>
            <w:tcW w:type="dxa" w:w="1856"/>
            <w:vAlign w:val="center"/>
            <w:shd w:fill="FFFFFF"/>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40" w:before="40" w:line="245" w:lineRule="auto"/>
            </w:pPr>
            <w:r>
              <w:rPr>
                <w:b w:val="0"/>
                <w:color w:val="24323E"/>
                <w:sz w:val="18"/>
              </w:rPr>
              <w:t>5.10</w:t>
            </w:r>
          </w:p>
        </w:tc>
        <w:tc>
          <w:tcPr>
            <w:tcW w:type="dxa" w:w="1856"/>
            <w:vAlign w:val="center"/>
            <w:shd w:fill="FFFFFF"/>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40" w:before="40" w:line="245" w:lineRule="auto"/>
            </w:pPr>
            <w:r>
              <w:rPr>
                <w:b w:val="0"/>
                <w:color w:val="24323E"/>
                <w:sz w:val="18"/>
              </w:rPr>
              <w:t>6.00</w:t>
            </w:r>
          </w:p>
        </w:tc>
      </w:tr>
      <w:tr>
        <w:trPr>
          <w:cantSplit/>
        </w:trPr>
        <w:tc>
          <w:tcPr>
            <w:tcW w:type="dxa" w:w="4268"/>
            <w:vAlign w:val="center"/>
            <w:shd w:fill="F3F1EC"/>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40" w:before="40" w:line="245" w:lineRule="auto"/>
            </w:pPr>
            <w:r>
              <w:rPr>
                <w:b w:val="0"/>
                <w:color w:val="24323E"/>
                <w:sz w:val="18"/>
              </w:rPr>
              <w:t>B05 Procurement savings</w:t>
            </w:r>
          </w:p>
        </w:tc>
        <w:tc>
          <w:tcPr>
            <w:tcW w:type="dxa" w:w="1856"/>
            <w:vAlign w:val="center"/>
            <w:shd w:fill="F3F1EC"/>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40" w:before="40" w:line="245" w:lineRule="auto"/>
            </w:pPr>
            <w:r>
              <w:rPr>
                <w:b w:val="0"/>
                <w:color w:val="24323E"/>
                <w:sz w:val="18"/>
              </w:rPr>
              <w:t>1.80</w:t>
            </w:r>
          </w:p>
        </w:tc>
        <w:tc>
          <w:tcPr>
            <w:tcW w:type="dxa" w:w="1856"/>
            <w:vAlign w:val="center"/>
            <w:shd w:fill="F3F1EC"/>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40" w:before="40" w:line="245" w:lineRule="auto"/>
            </w:pPr>
            <w:r>
              <w:rPr>
                <w:b w:val="0"/>
                <w:color w:val="24323E"/>
                <w:sz w:val="18"/>
              </w:rPr>
              <w:t>4.05</w:t>
            </w:r>
          </w:p>
        </w:tc>
        <w:tc>
          <w:tcPr>
            <w:tcW w:type="dxa" w:w="1856"/>
            <w:vAlign w:val="center"/>
            <w:shd w:fill="F3F1EC"/>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40" w:before="40" w:line="245" w:lineRule="auto"/>
            </w:pPr>
            <w:r>
              <w:rPr>
                <w:b w:val="0"/>
                <w:color w:val="24323E"/>
                <w:sz w:val="18"/>
              </w:rPr>
              <w:t>4.50</w:t>
            </w:r>
          </w:p>
        </w:tc>
      </w:tr>
      <w:tr>
        <w:trPr>
          <w:cantSplit/>
        </w:trPr>
        <w:tc>
          <w:tcPr>
            <w:tcW w:type="dxa" w:w="4268"/>
            <w:vAlign w:val="center"/>
            <w:shd w:fill="FFFFFF"/>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40" w:before="40" w:line="245" w:lineRule="auto"/>
            </w:pPr>
            <w:r>
              <w:rPr>
                <w:b w:val="0"/>
                <w:color w:val="24323E"/>
                <w:sz w:val="18"/>
              </w:rPr>
              <w:t>B06 Lower service recovery costs</w:t>
            </w:r>
          </w:p>
        </w:tc>
        <w:tc>
          <w:tcPr>
            <w:tcW w:type="dxa" w:w="1856"/>
            <w:vAlign w:val="center"/>
            <w:shd w:fill="FFFFFF"/>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40" w:before="40" w:line="245" w:lineRule="auto"/>
            </w:pPr>
            <w:r>
              <w:rPr>
                <w:b w:val="0"/>
                <w:color w:val="24323E"/>
                <w:sz w:val="18"/>
              </w:rPr>
              <w:t>1.20</w:t>
            </w:r>
          </w:p>
        </w:tc>
        <w:tc>
          <w:tcPr>
            <w:tcW w:type="dxa" w:w="1856"/>
            <w:vAlign w:val="center"/>
            <w:shd w:fill="FFFFFF"/>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40" w:before="40" w:line="245" w:lineRule="auto"/>
            </w:pPr>
            <w:r>
              <w:rPr>
                <w:b w:val="0"/>
                <w:color w:val="24323E"/>
                <w:sz w:val="18"/>
              </w:rPr>
              <w:t>2.70</w:t>
            </w:r>
          </w:p>
        </w:tc>
        <w:tc>
          <w:tcPr>
            <w:tcW w:type="dxa" w:w="1856"/>
            <w:vAlign w:val="center"/>
            <w:shd w:fill="FFFFFF"/>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40" w:before="40" w:line="245" w:lineRule="auto"/>
            </w:pPr>
            <w:r>
              <w:rPr>
                <w:b w:val="0"/>
                <w:color w:val="24323E"/>
                <w:sz w:val="18"/>
              </w:rPr>
              <w:t>3.00</w:t>
            </w:r>
          </w:p>
        </w:tc>
      </w:tr>
      <w:tr>
        <w:trPr>
          <w:cantSplit/>
        </w:trPr>
        <w:tc>
          <w:tcPr>
            <w:tcW w:type="dxa" w:w="4268"/>
            <w:vAlign w:val="center"/>
            <w:shd w:fill="F3F1EC"/>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40" w:before="40" w:line="245" w:lineRule="auto"/>
            </w:pPr>
            <w:r>
              <w:rPr>
                <w:b w:val="0"/>
                <w:color w:val="24323E"/>
                <w:sz w:val="18"/>
              </w:rPr>
              <w:t>B07 Property and technology rationalisation</w:t>
            </w:r>
          </w:p>
        </w:tc>
        <w:tc>
          <w:tcPr>
            <w:tcW w:type="dxa" w:w="1856"/>
            <w:vAlign w:val="center"/>
            <w:shd w:fill="F3F1EC"/>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40" w:before="40" w:line="245" w:lineRule="auto"/>
            </w:pPr>
            <w:r>
              <w:rPr>
                <w:b w:val="0"/>
                <w:color w:val="24323E"/>
                <w:sz w:val="18"/>
              </w:rPr>
              <w:t>1.60</w:t>
            </w:r>
          </w:p>
        </w:tc>
        <w:tc>
          <w:tcPr>
            <w:tcW w:type="dxa" w:w="1856"/>
            <w:vAlign w:val="center"/>
            <w:shd w:fill="F3F1EC"/>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40" w:before="40" w:line="245" w:lineRule="auto"/>
            </w:pPr>
            <w:r>
              <w:rPr>
                <w:b w:val="0"/>
                <w:color w:val="24323E"/>
                <w:sz w:val="18"/>
              </w:rPr>
              <w:t>2.24</w:t>
            </w:r>
          </w:p>
        </w:tc>
        <w:tc>
          <w:tcPr>
            <w:tcW w:type="dxa" w:w="1856"/>
            <w:vAlign w:val="center"/>
            <w:shd w:fill="F3F1EC"/>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40" w:before="40" w:line="245" w:lineRule="auto"/>
            </w:pPr>
            <w:r>
              <w:rPr>
                <w:b w:val="0"/>
                <w:color w:val="24323E"/>
                <w:sz w:val="18"/>
              </w:rPr>
              <w:t>3.20</w:t>
            </w:r>
          </w:p>
        </w:tc>
      </w:tr>
      <w:tr>
        <w:trPr>
          <w:cantSplit/>
        </w:trPr>
        <w:tc>
          <w:tcPr>
            <w:tcW w:type="dxa" w:w="4268"/>
            <w:vAlign w:val="center"/>
            <w:shd w:fill="FFFFFF"/>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40" w:before="40" w:line="245" w:lineRule="auto"/>
            </w:pPr>
            <w:r>
              <w:rPr>
                <w:b w:val="0"/>
                <w:color w:val="24323E"/>
                <w:sz w:val="18"/>
              </w:rPr>
              <w:t>B08 Overhead and shared-service controls</w:t>
            </w:r>
          </w:p>
        </w:tc>
        <w:tc>
          <w:tcPr>
            <w:tcW w:type="dxa" w:w="1856"/>
            <w:vAlign w:val="center"/>
            <w:shd w:fill="FFFFFF"/>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40" w:before="40" w:line="245" w:lineRule="auto"/>
            </w:pPr>
            <w:r>
              <w:rPr>
                <w:b w:val="0"/>
                <w:color w:val="24323E"/>
                <w:sz w:val="18"/>
              </w:rPr>
              <w:t>1.30</w:t>
            </w:r>
          </w:p>
        </w:tc>
        <w:tc>
          <w:tcPr>
            <w:tcW w:type="dxa" w:w="1856"/>
            <w:vAlign w:val="center"/>
            <w:shd w:fill="FFFFFF"/>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40" w:before="40" w:line="245" w:lineRule="auto"/>
            </w:pPr>
            <w:r>
              <w:rPr>
                <w:b w:val="0"/>
                <w:color w:val="24323E"/>
                <w:sz w:val="18"/>
              </w:rPr>
              <w:t>1.69</w:t>
            </w:r>
          </w:p>
        </w:tc>
        <w:tc>
          <w:tcPr>
            <w:tcW w:type="dxa" w:w="1856"/>
            <w:vAlign w:val="center"/>
            <w:shd w:fill="FFFFFF"/>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40" w:before="40" w:line="245" w:lineRule="auto"/>
            </w:pPr>
            <w:r>
              <w:rPr>
                <w:b w:val="0"/>
                <w:color w:val="24323E"/>
                <w:sz w:val="18"/>
              </w:rPr>
              <w:t>2.30</w:t>
            </w:r>
          </w:p>
        </w:tc>
      </w:tr>
      <w:tr>
        <w:trPr>
          <w:cantSplit/>
        </w:trPr>
        <w:tc>
          <w:tcPr>
            <w:tcW w:type="dxa" w:w="4268"/>
            <w:vAlign w:val="center"/>
            <w:shd w:fill="F3F1EC"/>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40" w:before="40" w:line="245" w:lineRule="auto"/>
            </w:pPr>
            <w:r>
              <w:rPr>
                <w:b w:val="0"/>
                <w:color w:val="24323E"/>
                <w:sz w:val="18"/>
              </w:rPr>
              <w:t>Gross EBITDA benefit</w:t>
            </w:r>
          </w:p>
        </w:tc>
        <w:tc>
          <w:tcPr>
            <w:tcW w:type="dxa" w:w="1856"/>
            <w:vAlign w:val="center"/>
            <w:shd w:fill="F3F1EC"/>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40" w:before="40" w:line="245" w:lineRule="auto"/>
            </w:pPr>
            <w:r>
              <w:rPr>
                <w:b w:val="0"/>
                <w:color w:val="24323E"/>
                <w:sz w:val="18"/>
              </w:rPr>
              <w:t>12.00</w:t>
            </w:r>
          </w:p>
        </w:tc>
        <w:tc>
          <w:tcPr>
            <w:tcW w:type="dxa" w:w="1856"/>
            <w:vAlign w:val="center"/>
            <w:shd w:fill="F3F1EC"/>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40" w:before="40" w:line="245" w:lineRule="auto"/>
            </w:pPr>
            <w:r>
              <w:rPr>
                <w:b w:val="0"/>
                <w:color w:val="24323E"/>
                <w:sz w:val="18"/>
              </w:rPr>
              <w:t>24.00</w:t>
            </w:r>
          </w:p>
        </w:tc>
        <w:tc>
          <w:tcPr>
            <w:tcW w:type="dxa" w:w="1856"/>
            <w:vAlign w:val="center"/>
            <w:shd w:fill="F3F1EC"/>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40" w:before="40" w:line="245" w:lineRule="auto"/>
            </w:pPr>
            <w:r>
              <w:rPr>
                <w:b w:val="0"/>
                <w:color w:val="24323E"/>
                <w:sz w:val="18"/>
              </w:rPr>
              <w:t>29.00</w:t>
            </w:r>
          </w:p>
        </w:tc>
      </w:tr>
      <w:tr>
        <w:trPr>
          <w:cantSplit/>
        </w:trPr>
        <w:tc>
          <w:tcPr>
            <w:tcW w:type="dxa" w:w="4268"/>
            <w:vAlign w:val="center"/>
            <w:shd w:fill="FFFFFF"/>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40" w:before="40" w:line="245" w:lineRule="auto"/>
            </w:pPr>
            <w:r>
              <w:rPr>
                <w:b w:val="0"/>
                <w:color w:val="24323E"/>
                <w:sz w:val="18"/>
              </w:rPr>
              <w:t>New recurring cost</w:t>
            </w:r>
          </w:p>
        </w:tc>
        <w:tc>
          <w:tcPr>
            <w:tcW w:type="dxa" w:w="1856"/>
            <w:vAlign w:val="center"/>
            <w:shd w:fill="FFFFFF"/>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40" w:before="40" w:line="245" w:lineRule="auto"/>
            </w:pPr>
            <w:r>
              <w:rPr>
                <w:b w:val="0"/>
                <w:color w:val="24323E"/>
                <w:sz w:val="18"/>
              </w:rPr>
              <w:t>(1.50)</w:t>
            </w:r>
          </w:p>
        </w:tc>
        <w:tc>
          <w:tcPr>
            <w:tcW w:type="dxa" w:w="1856"/>
            <w:vAlign w:val="center"/>
            <w:shd w:fill="FFFFFF"/>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40" w:before="40" w:line="245" w:lineRule="auto"/>
            </w:pPr>
            <w:r>
              <w:rPr>
                <w:b w:val="0"/>
                <w:color w:val="24323E"/>
                <w:sz w:val="18"/>
              </w:rPr>
              <w:t>(3.00)</w:t>
            </w:r>
          </w:p>
        </w:tc>
        <w:tc>
          <w:tcPr>
            <w:tcW w:type="dxa" w:w="1856"/>
            <w:vAlign w:val="center"/>
            <w:shd w:fill="FFFFFF"/>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40" w:before="40" w:line="245" w:lineRule="auto"/>
            </w:pPr>
            <w:r>
              <w:rPr>
                <w:b w:val="0"/>
                <w:color w:val="24323E"/>
                <w:sz w:val="18"/>
              </w:rPr>
              <w:t>(3.00)</w:t>
            </w:r>
          </w:p>
        </w:tc>
      </w:tr>
      <w:tr>
        <w:trPr>
          <w:cantSplit/>
        </w:trPr>
        <w:tc>
          <w:tcPr>
            <w:tcW w:type="dxa" w:w="4268"/>
            <w:vAlign w:val="center"/>
            <w:shd w:fill="F3F1EC"/>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40" w:before="40" w:line="245" w:lineRule="auto"/>
            </w:pPr>
            <w:r>
              <w:rPr>
                <w:b w:val="0"/>
                <w:color w:val="24323E"/>
                <w:sz w:val="18"/>
              </w:rPr>
              <w:t>Net EBITDA improvement</w:t>
            </w:r>
          </w:p>
        </w:tc>
        <w:tc>
          <w:tcPr>
            <w:tcW w:type="dxa" w:w="1856"/>
            <w:vAlign w:val="center"/>
            <w:shd w:fill="F3F1EC"/>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40" w:before="40" w:line="245" w:lineRule="auto"/>
            </w:pPr>
            <w:r>
              <w:rPr>
                <w:b w:val="0"/>
                <w:color w:val="24323E"/>
                <w:sz w:val="18"/>
              </w:rPr>
              <w:t>10.50</w:t>
            </w:r>
          </w:p>
        </w:tc>
        <w:tc>
          <w:tcPr>
            <w:tcW w:type="dxa" w:w="1856"/>
            <w:vAlign w:val="center"/>
            <w:shd w:fill="F3F1EC"/>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40" w:before="40" w:line="245" w:lineRule="auto"/>
            </w:pPr>
            <w:r>
              <w:rPr>
                <w:b w:val="0"/>
                <w:color w:val="24323E"/>
                <w:sz w:val="18"/>
              </w:rPr>
              <w:t>21.00</w:t>
            </w:r>
          </w:p>
        </w:tc>
        <w:tc>
          <w:tcPr>
            <w:tcW w:type="dxa" w:w="1856"/>
            <w:vAlign w:val="center"/>
            <w:shd w:fill="F3F1EC"/>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40" w:before="40" w:line="245" w:lineRule="auto"/>
            </w:pPr>
            <w:r>
              <w:rPr>
                <w:b w:val="0"/>
                <w:color w:val="24323E"/>
                <w:sz w:val="18"/>
              </w:rPr>
              <w:t>26.00</w:t>
            </w:r>
          </w:p>
        </w:tc>
      </w:tr>
    </w:tbl>
    <w:p>
      <w:pPr>
        <w:spacing w:after="0" w:line="60" w:lineRule="exact"/>
      </w:pPr>
      <w:r>
        <w:rPr>
          <w:sz w:val="4"/>
        </w:rPr>
        <w:t xml:space="preserve"> </w:t>
      </w:r>
    </w:p>
    <w:p>
      <w:r>
        <w:t>FY2028 underlying EBITDA is 31.00 because initiatives do not operate at full effect throughout the year. Reported EBITDA is 28.00 after 3.00 of one-off programme expense. FY2028 net profit is 13.95. The 36.00 exit figure is an annual run rate, not that year's reported result.</w:t>
      </w:r>
    </w:p>
    <w:p>
      <w:r>
        <w:t>Every benefit has a principal owner and an overlap boundary. Redeploying 20 roles books no saving. B04 requires removal of paid cost after service conditions pass. The separate 12.00 working-capital release changes cash and never increases EBITDA. The model's 10% tax convention is illustrative and makes no statutory claim.</w:t>
      </w:r>
    </w:p>
    <w:p>
      <w:r>
        <w:rPr>
          <w:i/>
          <w:sz w:val="16"/>
        </w:rPr>
        <w:t>Source: SRC01: Financial baseline and proposed plan, section 4; SRC05: Benefits and profit bridge, section 8. All case evidence is fictional.</w:t>
      </w:r>
    </w:p>
    <w:p>
      <w:pPr>
        <w:pStyle w:val="Heading1"/>
        <w:pageBreakBefore/>
      </w:pPr>
      <w:r>
        <w:t>Funding and quarterly programme cash</w:t>
      </w:r>
    </w:p>
    <w:p>
      <w:r>
        <w:t>The envelope comprises 12.00 expense and 6.00 capital expenditure. Q1 is intentionally cash-consuming: gross benefit 0.90 less recurring cost 0.15 less investment 3.50 equals negative 2.75. The initial release cannot be justified by claiming that the full 29.00 annual benefit arrives during mobilisation.</w:t>
      </w:r>
    </w:p>
    <w:tbl>
      <w:tblPr>
        <w:tblW w:type="auto" w:w="0"/>
        <w:jc w:val="center"/>
        <w:tblLayout w:type="fixed"/>
        <w:tblLook w:firstColumn="1" w:firstRow="1" w:lastColumn="0" w:lastRow="0" w:noHBand="0" w:noVBand="1" w:val="04A0"/>
      </w:tblPr>
      <w:tblGrid>
        <w:gridCol w:w="3099"/>
        <w:gridCol w:w="1347"/>
        <w:gridCol w:w="1347"/>
        <w:gridCol w:w="1347"/>
        <w:gridCol w:w="1347"/>
        <w:gridCol w:w="1347"/>
      </w:tblGrid>
      <w:tr>
        <w:trPr>
          <w:cantSplit/>
          <w:tblHeader/>
        </w:trPr>
        <w:tc>
          <w:tcPr>
            <w:tcW w:type="dxa" w:w="3099"/>
            <w:vAlign w:val="center"/>
            <w:shd w:fill="142D43"/>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40" w:before="40" w:line="245" w:lineRule="auto"/>
            </w:pPr>
            <w:r>
              <w:rPr>
                <w:b/>
                <w:color w:val="FFFFFF"/>
                <w:sz w:val="18"/>
              </w:rPr>
              <w:t>Period</w:t>
            </w:r>
          </w:p>
        </w:tc>
        <w:tc>
          <w:tcPr>
            <w:tcW w:type="dxa" w:w="1347"/>
            <w:vAlign w:val="center"/>
            <w:shd w:fill="142D43"/>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40" w:before="40" w:line="245" w:lineRule="auto"/>
            </w:pPr>
            <w:r>
              <w:rPr>
                <w:b/>
                <w:color w:val="FFFFFF"/>
                <w:sz w:val="18"/>
              </w:rPr>
              <w:t>Gross benefit</w:t>
            </w:r>
          </w:p>
        </w:tc>
        <w:tc>
          <w:tcPr>
            <w:tcW w:type="dxa" w:w="1347"/>
            <w:vAlign w:val="center"/>
            <w:shd w:fill="142D43"/>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40" w:before="40" w:line="245" w:lineRule="auto"/>
            </w:pPr>
            <w:r>
              <w:rPr>
                <w:b/>
                <w:color w:val="FFFFFF"/>
                <w:sz w:val="18"/>
              </w:rPr>
              <w:t>Recurring cost</w:t>
            </w:r>
          </w:p>
        </w:tc>
        <w:tc>
          <w:tcPr>
            <w:tcW w:type="dxa" w:w="1347"/>
            <w:vAlign w:val="center"/>
            <w:shd w:fill="142D43"/>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40" w:before="40" w:line="245" w:lineRule="auto"/>
            </w:pPr>
            <w:r>
              <w:rPr>
                <w:b/>
                <w:color w:val="FFFFFF"/>
                <w:sz w:val="18"/>
              </w:rPr>
              <w:t>Investment cash</w:t>
            </w:r>
          </w:p>
        </w:tc>
        <w:tc>
          <w:tcPr>
            <w:tcW w:type="dxa" w:w="1347"/>
            <w:vAlign w:val="center"/>
            <w:shd w:fill="142D43"/>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40" w:before="40" w:line="245" w:lineRule="auto"/>
            </w:pPr>
            <w:r>
              <w:rPr>
                <w:b/>
                <w:color w:val="FFFFFF"/>
                <w:sz w:val="18"/>
              </w:rPr>
              <w:t>WC release</w:t>
            </w:r>
          </w:p>
        </w:tc>
        <w:tc>
          <w:tcPr>
            <w:tcW w:type="dxa" w:w="1347"/>
            <w:vAlign w:val="center"/>
            <w:shd w:fill="142D43"/>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40" w:before="40" w:line="245" w:lineRule="auto"/>
            </w:pPr>
            <w:r>
              <w:rPr>
                <w:b/>
                <w:color w:val="FFFFFF"/>
                <w:sz w:val="18"/>
              </w:rPr>
              <w:t>Net cash with WC</w:t>
            </w:r>
          </w:p>
        </w:tc>
      </w:tr>
      <w:tr>
        <w:trPr>
          <w:cantSplit/>
        </w:trPr>
        <w:tc>
          <w:tcPr>
            <w:tcW w:type="dxa" w:w="3099"/>
            <w:vAlign w:val="center"/>
            <w:shd w:fill="F3F1EC"/>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40" w:before="40" w:line="245" w:lineRule="auto"/>
            </w:pPr>
            <w:r>
              <w:rPr>
                <w:b w:val="0"/>
                <w:color w:val="24323E"/>
                <w:sz w:val="18"/>
              </w:rPr>
              <w:t>2027 Q1</w:t>
            </w:r>
          </w:p>
        </w:tc>
        <w:tc>
          <w:tcPr>
            <w:tcW w:type="dxa" w:w="1347"/>
            <w:vAlign w:val="center"/>
            <w:shd w:fill="F3F1EC"/>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40" w:before="40" w:line="245" w:lineRule="auto"/>
            </w:pPr>
            <w:r>
              <w:rPr>
                <w:b w:val="0"/>
                <w:color w:val="24323E"/>
                <w:sz w:val="18"/>
              </w:rPr>
              <w:t>0.90</w:t>
            </w:r>
          </w:p>
        </w:tc>
        <w:tc>
          <w:tcPr>
            <w:tcW w:type="dxa" w:w="1347"/>
            <w:vAlign w:val="center"/>
            <w:shd w:fill="F3F1EC"/>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40" w:before="40" w:line="245" w:lineRule="auto"/>
            </w:pPr>
            <w:r>
              <w:rPr>
                <w:b w:val="0"/>
                <w:color w:val="24323E"/>
                <w:sz w:val="18"/>
              </w:rPr>
              <w:t>0.15</w:t>
            </w:r>
          </w:p>
        </w:tc>
        <w:tc>
          <w:tcPr>
            <w:tcW w:type="dxa" w:w="1347"/>
            <w:vAlign w:val="center"/>
            <w:shd w:fill="F3F1EC"/>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40" w:before="40" w:line="245" w:lineRule="auto"/>
            </w:pPr>
            <w:r>
              <w:rPr>
                <w:b w:val="0"/>
                <w:color w:val="24323E"/>
                <w:sz w:val="18"/>
              </w:rPr>
              <w:t>3.50</w:t>
            </w:r>
          </w:p>
        </w:tc>
        <w:tc>
          <w:tcPr>
            <w:tcW w:type="dxa" w:w="1347"/>
            <w:vAlign w:val="center"/>
            <w:shd w:fill="F3F1EC"/>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40" w:before="40" w:line="245" w:lineRule="auto"/>
            </w:pPr>
            <w:r>
              <w:rPr>
                <w:b w:val="0"/>
                <w:color w:val="24323E"/>
                <w:sz w:val="18"/>
              </w:rPr>
              <w:t>0.00</w:t>
            </w:r>
          </w:p>
        </w:tc>
        <w:tc>
          <w:tcPr>
            <w:tcW w:type="dxa" w:w="1347"/>
            <w:vAlign w:val="center"/>
            <w:shd w:fill="F3F1EC"/>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40" w:before="40" w:line="245" w:lineRule="auto"/>
            </w:pPr>
            <w:r>
              <w:rPr>
                <w:b w:val="0"/>
                <w:color w:val="24323E"/>
                <w:sz w:val="18"/>
              </w:rPr>
              <w:t>-2.75</w:t>
            </w:r>
          </w:p>
        </w:tc>
      </w:tr>
      <w:tr>
        <w:trPr>
          <w:cantSplit/>
        </w:trPr>
        <w:tc>
          <w:tcPr>
            <w:tcW w:type="dxa" w:w="3099"/>
            <w:vAlign w:val="center"/>
            <w:shd w:fill="FFFFFF"/>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40" w:before="40" w:line="245" w:lineRule="auto"/>
            </w:pPr>
            <w:r>
              <w:rPr>
                <w:b w:val="0"/>
                <w:color w:val="24323E"/>
                <w:sz w:val="18"/>
              </w:rPr>
              <w:t>2027 Q2</w:t>
            </w:r>
          </w:p>
        </w:tc>
        <w:tc>
          <w:tcPr>
            <w:tcW w:type="dxa" w:w="1347"/>
            <w:vAlign w:val="center"/>
            <w:shd w:fill="FFFFFF"/>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40" w:before="40" w:line="245" w:lineRule="auto"/>
            </w:pPr>
            <w:r>
              <w:rPr>
                <w:b w:val="0"/>
                <w:color w:val="24323E"/>
                <w:sz w:val="18"/>
              </w:rPr>
              <w:t>2.20</w:t>
            </w:r>
          </w:p>
        </w:tc>
        <w:tc>
          <w:tcPr>
            <w:tcW w:type="dxa" w:w="1347"/>
            <w:vAlign w:val="center"/>
            <w:shd w:fill="FFFFFF"/>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40" w:before="40" w:line="245" w:lineRule="auto"/>
            </w:pPr>
            <w:r>
              <w:rPr>
                <w:b w:val="0"/>
                <w:color w:val="24323E"/>
                <w:sz w:val="18"/>
              </w:rPr>
              <w:t>0.30</w:t>
            </w:r>
          </w:p>
        </w:tc>
        <w:tc>
          <w:tcPr>
            <w:tcW w:type="dxa" w:w="1347"/>
            <w:vAlign w:val="center"/>
            <w:shd w:fill="FFFFFF"/>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40" w:before="40" w:line="245" w:lineRule="auto"/>
            </w:pPr>
            <w:r>
              <w:rPr>
                <w:b w:val="0"/>
                <w:color w:val="24323E"/>
                <w:sz w:val="18"/>
              </w:rPr>
              <w:t>3.50</w:t>
            </w:r>
          </w:p>
        </w:tc>
        <w:tc>
          <w:tcPr>
            <w:tcW w:type="dxa" w:w="1347"/>
            <w:vAlign w:val="center"/>
            <w:shd w:fill="FFFFFF"/>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40" w:before="40" w:line="245" w:lineRule="auto"/>
            </w:pPr>
            <w:r>
              <w:rPr>
                <w:b w:val="0"/>
                <w:color w:val="24323E"/>
                <w:sz w:val="18"/>
              </w:rPr>
              <w:t>1.00</w:t>
            </w:r>
          </w:p>
        </w:tc>
        <w:tc>
          <w:tcPr>
            <w:tcW w:type="dxa" w:w="1347"/>
            <w:vAlign w:val="center"/>
            <w:shd w:fill="FFFFFF"/>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40" w:before="40" w:line="245" w:lineRule="auto"/>
            </w:pPr>
            <w:r>
              <w:rPr>
                <w:b w:val="0"/>
                <w:color w:val="24323E"/>
                <w:sz w:val="18"/>
              </w:rPr>
              <w:t>-0.60</w:t>
            </w:r>
          </w:p>
        </w:tc>
      </w:tr>
      <w:tr>
        <w:trPr>
          <w:cantSplit/>
        </w:trPr>
        <w:tc>
          <w:tcPr>
            <w:tcW w:type="dxa" w:w="3099"/>
            <w:vAlign w:val="center"/>
            <w:shd w:fill="F3F1EC"/>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40" w:before="40" w:line="245" w:lineRule="auto"/>
            </w:pPr>
            <w:r>
              <w:rPr>
                <w:b w:val="0"/>
                <w:color w:val="24323E"/>
                <w:sz w:val="18"/>
              </w:rPr>
              <w:t>2027 Q3</w:t>
            </w:r>
          </w:p>
        </w:tc>
        <w:tc>
          <w:tcPr>
            <w:tcW w:type="dxa" w:w="1347"/>
            <w:vAlign w:val="center"/>
            <w:shd w:fill="F3F1EC"/>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40" w:before="40" w:line="245" w:lineRule="auto"/>
            </w:pPr>
            <w:r>
              <w:rPr>
                <w:b w:val="0"/>
                <w:color w:val="24323E"/>
                <w:sz w:val="18"/>
              </w:rPr>
              <w:t>3.70</w:t>
            </w:r>
          </w:p>
        </w:tc>
        <w:tc>
          <w:tcPr>
            <w:tcW w:type="dxa" w:w="1347"/>
            <w:vAlign w:val="center"/>
            <w:shd w:fill="F3F1EC"/>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40" w:before="40" w:line="245" w:lineRule="auto"/>
            </w:pPr>
            <w:r>
              <w:rPr>
                <w:b w:val="0"/>
                <w:color w:val="24323E"/>
                <w:sz w:val="18"/>
              </w:rPr>
              <w:t>0.45</w:t>
            </w:r>
          </w:p>
        </w:tc>
        <w:tc>
          <w:tcPr>
            <w:tcW w:type="dxa" w:w="1347"/>
            <w:vAlign w:val="center"/>
            <w:shd w:fill="F3F1EC"/>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40" w:before="40" w:line="245" w:lineRule="auto"/>
            </w:pPr>
            <w:r>
              <w:rPr>
                <w:b w:val="0"/>
                <w:color w:val="24323E"/>
                <w:sz w:val="18"/>
              </w:rPr>
              <w:t>3.00</w:t>
            </w:r>
          </w:p>
        </w:tc>
        <w:tc>
          <w:tcPr>
            <w:tcW w:type="dxa" w:w="1347"/>
            <w:vAlign w:val="center"/>
            <w:shd w:fill="F3F1EC"/>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40" w:before="40" w:line="245" w:lineRule="auto"/>
            </w:pPr>
            <w:r>
              <w:rPr>
                <w:b w:val="0"/>
                <w:color w:val="24323E"/>
                <w:sz w:val="18"/>
              </w:rPr>
              <w:t>1.00</w:t>
            </w:r>
          </w:p>
        </w:tc>
        <w:tc>
          <w:tcPr>
            <w:tcW w:type="dxa" w:w="1347"/>
            <w:vAlign w:val="center"/>
            <w:shd w:fill="F3F1EC"/>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40" w:before="40" w:line="245" w:lineRule="auto"/>
            </w:pPr>
            <w:r>
              <w:rPr>
                <w:b w:val="0"/>
                <w:color w:val="24323E"/>
                <w:sz w:val="18"/>
              </w:rPr>
              <w:t>1.25</w:t>
            </w:r>
          </w:p>
        </w:tc>
      </w:tr>
      <w:tr>
        <w:trPr>
          <w:cantSplit/>
        </w:trPr>
        <w:tc>
          <w:tcPr>
            <w:tcW w:type="dxa" w:w="3099"/>
            <w:vAlign w:val="center"/>
            <w:shd w:fill="FFFFFF"/>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40" w:before="40" w:line="245" w:lineRule="auto"/>
            </w:pPr>
            <w:r>
              <w:rPr>
                <w:b w:val="0"/>
                <w:color w:val="24323E"/>
                <w:sz w:val="18"/>
              </w:rPr>
              <w:t>2027 Q4</w:t>
            </w:r>
          </w:p>
        </w:tc>
        <w:tc>
          <w:tcPr>
            <w:tcW w:type="dxa" w:w="1347"/>
            <w:vAlign w:val="center"/>
            <w:shd w:fill="FFFFFF"/>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40" w:before="40" w:line="245" w:lineRule="auto"/>
            </w:pPr>
            <w:r>
              <w:rPr>
                <w:b w:val="0"/>
                <w:color w:val="24323E"/>
                <w:sz w:val="18"/>
              </w:rPr>
              <w:t>5.20</w:t>
            </w:r>
          </w:p>
        </w:tc>
        <w:tc>
          <w:tcPr>
            <w:tcW w:type="dxa" w:w="1347"/>
            <w:vAlign w:val="center"/>
            <w:shd w:fill="FFFFFF"/>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40" w:before="40" w:line="245" w:lineRule="auto"/>
            </w:pPr>
            <w:r>
              <w:rPr>
                <w:b w:val="0"/>
                <w:color w:val="24323E"/>
                <w:sz w:val="18"/>
              </w:rPr>
              <w:t>0.60</w:t>
            </w:r>
          </w:p>
        </w:tc>
        <w:tc>
          <w:tcPr>
            <w:tcW w:type="dxa" w:w="1347"/>
            <w:vAlign w:val="center"/>
            <w:shd w:fill="FFFFFF"/>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40" w:before="40" w:line="245" w:lineRule="auto"/>
            </w:pPr>
            <w:r>
              <w:rPr>
                <w:b w:val="0"/>
                <w:color w:val="24323E"/>
                <w:sz w:val="18"/>
              </w:rPr>
              <w:t>2.00</w:t>
            </w:r>
          </w:p>
        </w:tc>
        <w:tc>
          <w:tcPr>
            <w:tcW w:type="dxa" w:w="1347"/>
            <w:vAlign w:val="center"/>
            <w:shd w:fill="FFFFFF"/>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40" w:before="40" w:line="245" w:lineRule="auto"/>
            </w:pPr>
            <w:r>
              <w:rPr>
                <w:b w:val="0"/>
                <w:color w:val="24323E"/>
                <w:sz w:val="18"/>
              </w:rPr>
              <w:t>2.00</w:t>
            </w:r>
          </w:p>
        </w:tc>
        <w:tc>
          <w:tcPr>
            <w:tcW w:type="dxa" w:w="1347"/>
            <w:vAlign w:val="center"/>
            <w:shd w:fill="FFFFFF"/>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40" w:before="40" w:line="245" w:lineRule="auto"/>
            </w:pPr>
            <w:r>
              <w:rPr>
                <w:b w:val="0"/>
                <w:color w:val="24323E"/>
                <w:sz w:val="18"/>
              </w:rPr>
              <w:t>4.60</w:t>
            </w:r>
          </w:p>
        </w:tc>
      </w:tr>
      <w:tr>
        <w:trPr>
          <w:cantSplit/>
        </w:trPr>
        <w:tc>
          <w:tcPr>
            <w:tcW w:type="dxa" w:w="3099"/>
            <w:vAlign w:val="center"/>
            <w:shd w:fill="F3F1EC"/>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40" w:before="40" w:line="245" w:lineRule="auto"/>
            </w:pPr>
            <w:r>
              <w:rPr>
                <w:b w:val="0"/>
                <w:color w:val="24323E"/>
                <w:sz w:val="18"/>
              </w:rPr>
              <w:t>2028 Q1</w:t>
            </w:r>
          </w:p>
        </w:tc>
        <w:tc>
          <w:tcPr>
            <w:tcW w:type="dxa" w:w="1347"/>
            <w:vAlign w:val="center"/>
            <w:shd w:fill="F3F1EC"/>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40" w:before="40" w:line="245" w:lineRule="auto"/>
            </w:pPr>
            <w:r>
              <w:rPr>
                <w:b w:val="0"/>
                <w:color w:val="24323E"/>
                <w:sz w:val="18"/>
              </w:rPr>
              <w:t>5.40</w:t>
            </w:r>
          </w:p>
        </w:tc>
        <w:tc>
          <w:tcPr>
            <w:tcW w:type="dxa" w:w="1347"/>
            <w:vAlign w:val="center"/>
            <w:shd w:fill="F3F1EC"/>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40" w:before="40" w:line="245" w:lineRule="auto"/>
            </w:pPr>
            <w:r>
              <w:rPr>
                <w:b w:val="0"/>
                <w:color w:val="24323E"/>
                <w:sz w:val="18"/>
              </w:rPr>
              <w:t>0.75</w:t>
            </w:r>
          </w:p>
        </w:tc>
        <w:tc>
          <w:tcPr>
            <w:tcW w:type="dxa" w:w="1347"/>
            <w:vAlign w:val="center"/>
            <w:shd w:fill="F3F1EC"/>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40" w:before="40" w:line="245" w:lineRule="auto"/>
            </w:pPr>
            <w:r>
              <w:rPr>
                <w:b w:val="0"/>
                <w:color w:val="24323E"/>
                <w:sz w:val="18"/>
              </w:rPr>
              <w:t>2.00</w:t>
            </w:r>
          </w:p>
        </w:tc>
        <w:tc>
          <w:tcPr>
            <w:tcW w:type="dxa" w:w="1347"/>
            <w:vAlign w:val="center"/>
            <w:shd w:fill="F3F1EC"/>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40" w:before="40" w:line="245" w:lineRule="auto"/>
            </w:pPr>
            <w:r>
              <w:rPr>
                <w:b w:val="0"/>
                <w:color w:val="24323E"/>
                <w:sz w:val="18"/>
              </w:rPr>
              <w:t>2.00</w:t>
            </w:r>
          </w:p>
        </w:tc>
        <w:tc>
          <w:tcPr>
            <w:tcW w:type="dxa" w:w="1347"/>
            <w:vAlign w:val="center"/>
            <w:shd w:fill="F3F1EC"/>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40" w:before="40" w:line="245" w:lineRule="auto"/>
            </w:pPr>
            <w:r>
              <w:rPr>
                <w:b w:val="0"/>
                <w:color w:val="24323E"/>
                <w:sz w:val="18"/>
              </w:rPr>
              <w:t>4.65</w:t>
            </w:r>
          </w:p>
        </w:tc>
      </w:tr>
      <w:tr>
        <w:trPr>
          <w:cantSplit/>
        </w:trPr>
        <w:tc>
          <w:tcPr>
            <w:tcW w:type="dxa" w:w="3099"/>
            <w:vAlign w:val="center"/>
            <w:shd w:fill="FFFFFF"/>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40" w:before="40" w:line="245" w:lineRule="auto"/>
            </w:pPr>
            <w:r>
              <w:rPr>
                <w:b w:val="0"/>
                <w:color w:val="24323E"/>
                <w:sz w:val="18"/>
              </w:rPr>
              <w:t>2028 Q2</w:t>
            </w:r>
          </w:p>
        </w:tc>
        <w:tc>
          <w:tcPr>
            <w:tcW w:type="dxa" w:w="1347"/>
            <w:vAlign w:val="center"/>
            <w:shd w:fill="FFFFFF"/>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40" w:before="40" w:line="245" w:lineRule="auto"/>
            </w:pPr>
            <w:r>
              <w:rPr>
                <w:b w:val="0"/>
                <w:color w:val="24323E"/>
                <w:sz w:val="18"/>
              </w:rPr>
              <w:t>5.80</w:t>
            </w:r>
          </w:p>
        </w:tc>
        <w:tc>
          <w:tcPr>
            <w:tcW w:type="dxa" w:w="1347"/>
            <w:vAlign w:val="center"/>
            <w:shd w:fill="FFFFFF"/>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40" w:before="40" w:line="245" w:lineRule="auto"/>
            </w:pPr>
            <w:r>
              <w:rPr>
                <w:b w:val="0"/>
                <w:color w:val="24323E"/>
                <w:sz w:val="18"/>
              </w:rPr>
              <w:t>0.75</w:t>
            </w:r>
          </w:p>
        </w:tc>
        <w:tc>
          <w:tcPr>
            <w:tcW w:type="dxa" w:w="1347"/>
            <w:vAlign w:val="center"/>
            <w:shd w:fill="FFFFFF"/>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40" w:before="40" w:line="245" w:lineRule="auto"/>
            </w:pPr>
            <w:r>
              <w:rPr>
                <w:b w:val="0"/>
                <w:color w:val="24323E"/>
                <w:sz w:val="18"/>
              </w:rPr>
              <w:t>1.50</w:t>
            </w:r>
          </w:p>
        </w:tc>
        <w:tc>
          <w:tcPr>
            <w:tcW w:type="dxa" w:w="1347"/>
            <w:vAlign w:val="center"/>
            <w:shd w:fill="FFFFFF"/>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40" w:before="40" w:line="245" w:lineRule="auto"/>
            </w:pPr>
            <w:r>
              <w:rPr>
                <w:b w:val="0"/>
                <w:color w:val="24323E"/>
                <w:sz w:val="18"/>
              </w:rPr>
              <w:t>2.00</w:t>
            </w:r>
          </w:p>
        </w:tc>
        <w:tc>
          <w:tcPr>
            <w:tcW w:type="dxa" w:w="1347"/>
            <w:vAlign w:val="center"/>
            <w:shd w:fill="FFFFFF"/>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40" w:before="40" w:line="245" w:lineRule="auto"/>
            </w:pPr>
            <w:r>
              <w:rPr>
                <w:b w:val="0"/>
                <w:color w:val="24323E"/>
                <w:sz w:val="18"/>
              </w:rPr>
              <w:t>5.55</w:t>
            </w:r>
          </w:p>
        </w:tc>
      </w:tr>
      <w:tr>
        <w:trPr>
          <w:cantSplit/>
        </w:trPr>
        <w:tc>
          <w:tcPr>
            <w:tcW w:type="dxa" w:w="3099"/>
            <w:vAlign w:val="center"/>
            <w:shd w:fill="F3F1EC"/>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40" w:before="40" w:line="245" w:lineRule="auto"/>
            </w:pPr>
            <w:r>
              <w:rPr>
                <w:b w:val="0"/>
                <w:color w:val="24323E"/>
                <w:sz w:val="18"/>
              </w:rPr>
              <w:t>2028 Q3</w:t>
            </w:r>
          </w:p>
        </w:tc>
        <w:tc>
          <w:tcPr>
            <w:tcW w:type="dxa" w:w="1347"/>
            <w:vAlign w:val="center"/>
            <w:shd w:fill="F3F1EC"/>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40" w:before="40" w:line="245" w:lineRule="auto"/>
            </w:pPr>
            <w:r>
              <w:rPr>
                <w:b w:val="0"/>
                <w:color w:val="24323E"/>
                <w:sz w:val="18"/>
              </w:rPr>
              <w:t>6.20</w:t>
            </w:r>
          </w:p>
        </w:tc>
        <w:tc>
          <w:tcPr>
            <w:tcW w:type="dxa" w:w="1347"/>
            <w:vAlign w:val="center"/>
            <w:shd w:fill="F3F1EC"/>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40" w:before="40" w:line="245" w:lineRule="auto"/>
            </w:pPr>
            <w:r>
              <w:rPr>
                <w:b w:val="0"/>
                <w:color w:val="24323E"/>
                <w:sz w:val="18"/>
              </w:rPr>
              <w:t>0.75</w:t>
            </w:r>
          </w:p>
        </w:tc>
        <w:tc>
          <w:tcPr>
            <w:tcW w:type="dxa" w:w="1347"/>
            <w:vAlign w:val="center"/>
            <w:shd w:fill="F3F1EC"/>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40" w:before="40" w:line="245" w:lineRule="auto"/>
            </w:pPr>
            <w:r>
              <w:rPr>
                <w:b w:val="0"/>
                <w:color w:val="24323E"/>
                <w:sz w:val="18"/>
              </w:rPr>
              <w:t>1.50</w:t>
            </w:r>
          </w:p>
        </w:tc>
        <w:tc>
          <w:tcPr>
            <w:tcW w:type="dxa" w:w="1347"/>
            <w:vAlign w:val="center"/>
            <w:shd w:fill="F3F1EC"/>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40" w:before="40" w:line="245" w:lineRule="auto"/>
            </w:pPr>
            <w:r>
              <w:rPr>
                <w:b w:val="0"/>
                <w:color w:val="24323E"/>
                <w:sz w:val="18"/>
              </w:rPr>
              <w:t>2.00</w:t>
            </w:r>
          </w:p>
        </w:tc>
        <w:tc>
          <w:tcPr>
            <w:tcW w:type="dxa" w:w="1347"/>
            <w:vAlign w:val="center"/>
            <w:shd w:fill="F3F1EC"/>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40" w:before="40" w:line="245" w:lineRule="auto"/>
            </w:pPr>
            <w:r>
              <w:rPr>
                <w:b w:val="0"/>
                <w:color w:val="24323E"/>
                <w:sz w:val="18"/>
              </w:rPr>
              <w:t>5.95</w:t>
            </w:r>
          </w:p>
        </w:tc>
      </w:tr>
      <w:tr>
        <w:trPr>
          <w:cantSplit/>
        </w:trPr>
        <w:tc>
          <w:tcPr>
            <w:tcW w:type="dxa" w:w="3099"/>
            <w:vAlign w:val="center"/>
            <w:shd w:fill="FFFFFF"/>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40" w:before="40" w:line="245" w:lineRule="auto"/>
            </w:pPr>
            <w:r>
              <w:rPr>
                <w:b w:val="0"/>
                <w:color w:val="24323E"/>
                <w:sz w:val="18"/>
              </w:rPr>
              <w:t>2028 Q4</w:t>
            </w:r>
          </w:p>
        </w:tc>
        <w:tc>
          <w:tcPr>
            <w:tcW w:type="dxa" w:w="1347"/>
            <w:vAlign w:val="center"/>
            <w:shd w:fill="FFFFFF"/>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40" w:before="40" w:line="245" w:lineRule="auto"/>
            </w:pPr>
            <w:r>
              <w:rPr>
                <w:b w:val="0"/>
                <w:color w:val="24323E"/>
                <w:sz w:val="18"/>
              </w:rPr>
              <w:t>6.60</w:t>
            </w:r>
          </w:p>
        </w:tc>
        <w:tc>
          <w:tcPr>
            <w:tcW w:type="dxa" w:w="1347"/>
            <w:vAlign w:val="center"/>
            <w:shd w:fill="FFFFFF"/>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40" w:before="40" w:line="245" w:lineRule="auto"/>
            </w:pPr>
            <w:r>
              <w:rPr>
                <w:b w:val="0"/>
                <w:color w:val="24323E"/>
                <w:sz w:val="18"/>
              </w:rPr>
              <w:t>0.75</w:t>
            </w:r>
          </w:p>
        </w:tc>
        <w:tc>
          <w:tcPr>
            <w:tcW w:type="dxa" w:w="1347"/>
            <w:vAlign w:val="center"/>
            <w:shd w:fill="FFFFFF"/>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40" w:before="40" w:line="245" w:lineRule="auto"/>
            </w:pPr>
            <w:r>
              <w:rPr>
                <w:b w:val="0"/>
                <w:color w:val="24323E"/>
                <w:sz w:val="18"/>
              </w:rPr>
              <w:t>1.00</w:t>
            </w:r>
          </w:p>
        </w:tc>
        <w:tc>
          <w:tcPr>
            <w:tcW w:type="dxa" w:w="1347"/>
            <w:vAlign w:val="center"/>
            <w:shd w:fill="FFFFFF"/>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40" w:before="40" w:line="245" w:lineRule="auto"/>
            </w:pPr>
            <w:r>
              <w:rPr>
                <w:b w:val="0"/>
                <w:color w:val="24323E"/>
                <w:sz w:val="18"/>
              </w:rPr>
              <w:t>2.00</w:t>
            </w:r>
          </w:p>
        </w:tc>
        <w:tc>
          <w:tcPr>
            <w:tcW w:type="dxa" w:w="1347"/>
            <w:vAlign w:val="center"/>
            <w:shd w:fill="FFFFFF"/>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40" w:before="40" w:line="245" w:lineRule="auto"/>
            </w:pPr>
            <w:r>
              <w:rPr>
                <w:b w:val="0"/>
                <w:color w:val="24323E"/>
                <w:sz w:val="18"/>
              </w:rPr>
              <w:t>6.85</w:t>
            </w:r>
          </w:p>
        </w:tc>
      </w:tr>
      <w:tr>
        <w:trPr>
          <w:cantSplit/>
        </w:trPr>
        <w:tc>
          <w:tcPr>
            <w:tcW w:type="dxa" w:w="3099"/>
            <w:vAlign w:val="center"/>
            <w:shd w:fill="F3F1EC"/>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40" w:before="40" w:line="245" w:lineRule="auto"/>
            </w:pPr>
            <w:r>
              <w:rPr>
                <w:b w:val="0"/>
                <w:color w:val="24323E"/>
                <w:sz w:val="18"/>
              </w:rPr>
              <w:t>Total</w:t>
            </w:r>
          </w:p>
        </w:tc>
        <w:tc>
          <w:tcPr>
            <w:tcW w:type="dxa" w:w="1347"/>
            <w:vAlign w:val="center"/>
            <w:shd w:fill="F3F1EC"/>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40" w:before="40" w:line="245" w:lineRule="auto"/>
            </w:pPr>
            <w:r>
              <w:rPr>
                <w:b w:val="0"/>
                <w:color w:val="24323E"/>
                <w:sz w:val="18"/>
              </w:rPr>
              <w:t>36.00</w:t>
            </w:r>
          </w:p>
        </w:tc>
        <w:tc>
          <w:tcPr>
            <w:tcW w:type="dxa" w:w="1347"/>
            <w:vAlign w:val="center"/>
            <w:shd w:fill="F3F1EC"/>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40" w:before="40" w:line="245" w:lineRule="auto"/>
            </w:pPr>
            <w:r>
              <w:rPr>
                <w:b w:val="0"/>
                <w:color w:val="24323E"/>
                <w:sz w:val="18"/>
              </w:rPr>
              <w:t>4.50</w:t>
            </w:r>
          </w:p>
        </w:tc>
        <w:tc>
          <w:tcPr>
            <w:tcW w:type="dxa" w:w="1347"/>
            <w:vAlign w:val="center"/>
            <w:shd w:fill="F3F1EC"/>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40" w:before="40" w:line="245" w:lineRule="auto"/>
            </w:pPr>
            <w:r>
              <w:rPr>
                <w:b w:val="0"/>
                <w:color w:val="24323E"/>
                <w:sz w:val="18"/>
              </w:rPr>
              <w:t>18.00</w:t>
            </w:r>
          </w:p>
        </w:tc>
        <w:tc>
          <w:tcPr>
            <w:tcW w:type="dxa" w:w="1347"/>
            <w:vAlign w:val="center"/>
            <w:shd w:fill="F3F1EC"/>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40" w:before="40" w:line="245" w:lineRule="auto"/>
            </w:pPr>
            <w:r>
              <w:rPr>
                <w:b w:val="0"/>
                <w:color w:val="24323E"/>
                <w:sz w:val="18"/>
              </w:rPr>
              <w:t>12.00</w:t>
            </w:r>
          </w:p>
        </w:tc>
        <w:tc>
          <w:tcPr>
            <w:tcW w:type="dxa" w:w="1347"/>
            <w:vAlign w:val="center"/>
            <w:shd w:fill="F3F1EC"/>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40" w:before="40" w:line="245" w:lineRule="auto"/>
            </w:pPr>
            <w:r>
              <w:rPr>
                <w:b w:val="0"/>
                <w:color w:val="24323E"/>
                <w:sz w:val="18"/>
              </w:rPr>
              <w:t>25.50</w:t>
            </w:r>
          </w:p>
        </w:tc>
      </w:tr>
    </w:tbl>
    <w:p>
      <w:pPr>
        <w:spacing w:after="0" w:line="60" w:lineRule="exact"/>
      </w:pPr>
      <w:r>
        <w:rPr>
          <w:sz w:val="4"/>
        </w:rPr>
        <w:t xml:space="preserve"> </w:t>
      </w:r>
    </w:p>
    <w:p>
      <w:r>
        <w:t>Over two years, 36.00 gross benefit less 4.50 recurring cost less 18.00 investment produces 13.50 programme cash before working capital. The 12.00 one-time balance release raises this to 25.50. Programme expense is already within investment cash and must not be deducted twice.</w:t>
      </w:r>
    </w:p>
    <w:p>
      <w:r>
        <w:t>Quarter-level cumulative payback occurs in Q1 2028 before working capital and Q4 2027 after it. Peak cumulative draw is 4.35 before working capital and 3.35 after it. Starting cash of 12.00 less 3.35 gives only an illustrative 8.65; ordinary business flows are absent. No total-liquidity conclusion, exact payback date or debt repayment schedule follows from this exhibit.</w:t>
      </w:r>
    </w:p>
    <w:p>
      <w:r>
        <w:rPr>
          <w:i/>
          <w:sz w:val="16"/>
        </w:rPr>
        <w:t>Source: SRC06: Investment and cash, section 9. All case evidence is fictional.</w:t>
      </w:r>
    </w:p>
    <w:p>
      <w:pPr>
        <w:pStyle w:val="Heading1"/>
        <w:pageBreakBefore/>
      </w:pPr>
      <w:r>
        <w:t>Scenarios and reserved financial decisions</w:t>
      </w:r>
    </w:p>
    <w:tbl>
      <w:tblPr>
        <w:tblW w:type="auto" w:w="0"/>
        <w:jc w:val="center"/>
        <w:tblLayout w:type="fixed"/>
        <w:tblLook w:firstColumn="1" w:firstRow="1" w:lastColumn="0" w:lastRow="0" w:noHBand="0" w:noVBand="1" w:val="04A0"/>
      </w:tblPr>
      <w:tblGrid>
        <w:gridCol w:w="4268"/>
        <w:gridCol w:w="1856"/>
        <w:gridCol w:w="1856"/>
        <w:gridCol w:w="1856"/>
      </w:tblGrid>
      <w:tr>
        <w:trPr>
          <w:cantSplit/>
          <w:tblHeader/>
        </w:trPr>
        <w:tc>
          <w:tcPr>
            <w:tcW w:type="dxa" w:w="4268"/>
            <w:vAlign w:val="center"/>
            <w:shd w:fill="142D43"/>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40" w:before="40" w:line="245" w:lineRule="auto"/>
            </w:pPr>
            <w:r>
              <w:rPr>
                <w:b/>
                <w:color w:val="FFFFFF"/>
                <w:sz w:val="18"/>
              </w:rPr>
              <w:t>Measure</w:t>
            </w:r>
          </w:p>
        </w:tc>
        <w:tc>
          <w:tcPr>
            <w:tcW w:type="dxa" w:w="1856"/>
            <w:vAlign w:val="center"/>
            <w:shd w:fill="142D43"/>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40" w:before="40" w:line="245" w:lineRule="auto"/>
            </w:pPr>
            <w:r>
              <w:rPr>
                <w:b/>
                <w:color w:val="FFFFFF"/>
                <w:sz w:val="18"/>
              </w:rPr>
              <w:t>Downside</w:t>
            </w:r>
          </w:p>
        </w:tc>
        <w:tc>
          <w:tcPr>
            <w:tcW w:type="dxa" w:w="1856"/>
            <w:vAlign w:val="center"/>
            <w:shd w:fill="142D43"/>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40" w:before="40" w:line="245" w:lineRule="auto"/>
            </w:pPr>
            <w:r>
              <w:rPr>
                <w:b/>
                <w:color w:val="FFFFFF"/>
                <w:sz w:val="18"/>
              </w:rPr>
              <w:t>Base</w:t>
            </w:r>
          </w:p>
        </w:tc>
        <w:tc>
          <w:tcPr>
            <w:tcW w:type="dxa" w:w="1856"/>
            <w:vAlign w:val="center"/>
            <w:shd w:fill="142D43"/>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40" w:before="40" w:line="245" w:lineRule="auto"/>
            </w:pPr>
            <w:r>
              <w:rPr>
                <w:b/>
                <w:color w:val="FFFFFF"/>
                <w:sz w:val="18"/>
              </w:rPr>
              <w:t>Upside</w:t>
            </w:r>
          </w:p>
        </w:tc>
      </w:tr>
      <w:tr>
        <w:trPr>
          <w:cantSplit/>
        </w:trPr>
        <w:tc>
          <w:tcPr>
            <w:tcW w:type="dxa" w:w="4268"/>
            <w:vAlign w:val="center"/>
            <w:shd w:fill="F3F1EC"/>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40" w:before="40" w:line="245" w:lineRule="auto"/>
            </w:pPr>
            <w:r>
              <w:rPr>
                <w:b w:val="0"/>
                <w:color w:val="24323E"/>
                <w:sz w:val="18"/>
              </w:rPr>
              <w:t>Exit gross annual benefit</w:t>
            </w:r>
          </w:p>
        </w:tc>
        <w:tc>
          <w:tcPr>
            <w:tcW w:type="dxa" w:w="1856"/>
            <w:vAlign w:val="center"/>
            <w:shd w:fill="F3F1EC"/>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40" w:before="40" w:line="245" w:lineRule="auto"/>
            </w:pPr>
            <w:r>
              <w:rPr>
                <w:b w:val="0"/>
                <w:color w:val="24323E"/>
                <w:sz w:val="18"/>
              </w:rPr>
              <w:t>18.85</w:t>
            </w:r>
          </w:p>
        </w:tc>
        <w:tc>
          <w:tcPr>
            <w:tcW w:type="dxa" w:w="1856"/>
            <w:vAlign w:val="center"/>
            <w:shd w:fill="F3F1EC"/>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40" w:before="40" w:line="245" w:lineRule="auto"/>
            </w:pPr>
            <w:r>
              <w:rPr>
                <w:b w:val="0"/>
                <w:color w:val="24323E"/>
                <w:sz w:val="18"/>
              </w:rPr>
              <w:t>29.00</w:t>
            </w:r>
          </w:p>
        </w:tc>
        <w:tc>
          <w:tcPr>
            <w:tcW w:type="dxa" w:w="1856"/>
            <w:vAlign w:val="center"/>
            <w:shd w:fill="F3F1EC"/>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40" w:before="40" w:line="245" w:lineRule="auto"/>
            </w:pPr>
            <w:r>
              <w:rPr>
                <w:b w:val="0"/>
                <w:color w:val="24323E"/>
                <w:sz w:val="18"/>
              </w:rPr>
              <w:t>31.90</w:t>
            </w:r>
          </w:p>
        </w:tc>
      </w:tr>
      <w:tr>
        <w:trPr>
          <w:cantSplit/>
        </w:trPr>
        <w:tc>
          <w:tcPr>
            <w:tcW w:type="dxa" w:w="4268"/>
            <w:vAlign w:val="center"/>
            <w:shd w:fill="FFFFFF"/>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40" w:before="40" w:line="245" w:lineRule="auto"/>
            </w:pPr>
            <w:r>
              <w:rPr>
                <w:b w:val="0"/>
                <w:color w:val="24323E"/>
                <w:sz w:val="18"/>
              </w:rPr>
              <w:t>Exit annual recurring cost</w:t>
            </w:r>
          </w:p>
        </w:tc>
        <w:tc>
          <w:tcPr>
            <w:tcW w:type="dxa" w:w="1856"/>
            <w:vAlign w:val="center"/>
            <w:shd w:fill="FFFFFF"/>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40" w:before="40" w:line="245" w:lineRule="auto"/>
            </w:pPr>
            <w:r>
              <w:rPr>
                <w:b w:val="0"/>
                <w:color w:val="24323E"/>
                <w:sz w:val="18"/>
              </w:rPr>
              <w:t>3.30</w:t>
            </w:r>
          </w:p>
        </w:tc>
        <w:tc>
          <w:tcPr>
            <w:tcW w:type="dxa" w:w="1856"/>
            <w:vAlign w:val="center"/>
            <w:shd w:fill="FFFFFF"/>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40" w:before="40" w:line="245" w:lineRule="auto"/>
            </w:pPr>
            <w:r>
              <w:rPr>
                <w:b w:val="0"/>
                <w:color w:val="24323E"/>
                <w:sz w:val="18"/>
              </w:rPr>
              <w:t>3.00</w:t>
            </w:r>
          </w:p>
        </w:tc>
        <w:tc>
          <w:tcPr>
            <w:tcW w:type="dxa" w:w="1856"/>
            <w:vAlign w:val="center"/>
            <w:shd w:fill="FFFFFF"/>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40" w:before="40" w:line="245" w:lineRule="auto"/>
            </w:pPr>
            <w:r>
              <w:rPr>
                <w:b w:val="0"/>
                <w:color w:val="24323E"/>
                <w:sz w:val="18"/>
              </w:rPr>
              <w:t>3.15</w:t>
            </w:r>
          </w:p>
        </w:tc>
      </w:tr>
      <w:tr>
        <w:trPr>
          <w:cantSplit/>
        </w:trPr>
        <w:tc>
          <w:tcPr>
            <w:tcW w:type="dxa" w:w="4268"/>
            <w:vAlign w:val="center"/>
            <w:shd w:fill="F3F1EC"/>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40" w:before="40" w:line="245" w:lineRule="auto"/>
            </w:pPr>
            <w:r>
              <w:rPr>
                <w:b w:val="0"/>
                <w:color w:val="24323E"/>
                <w:sz w:val="18"/>
              </w:rPr>
              <w:t>Exit annual revenue</w:t>
            </w:r>
          </w:p>
        </w:tc>
        <w:tc>
          <w:tcPr>
            <w:tcW w:type="dxa" w:w="1856"/>
            <w:vAlign w:val="center"/>
            <w:shd w:fill="F3F1EC"/>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40" w:before="40" w:line="245" w:lineRule="auto"/>
            </w:pPr>
            <w:r>
              <w:rPr>
                <w:b w:val="0"/>
                <w:color w:val="24323E"/>
                <w:sz w:val="18"/>
              </w:rPr>
              <w:t>247.02</w:t>
            </w:r>
          </w:p>
        </w:tc>
        <w:tc>
          <w:tcPr>
            <w:tcW w:type="dxa" w:w="1856"/>
            <w:vAlign w:val="center"/>
            <w:shd w:fill="F3F1EC"/>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40" w:before="40" w:line="245" w:lineRule="auto"/>
            </w:pPr>
            <w:r>
              <w:rPr>
                <w:b w:val="0"/>
                <w:color w:val="24323E"/>
                <w:sz w:val="18"/>
              </w:rPr>
              <w:t>250.80</w:t>
            </w:r>
          </w:p>
        </w:tc>
        <w:tc>
          <w:tcPr>
            <w:tcW w:type="dxa" w:w="1856"/>
            <w:vAlign w:val="center"/>
            <w:shd w:fill="F3F1EC"/>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40" w:before="40" w:line="245" w:lineRule="auto"/>
            </w:pPr>
            <w:r>
              <w:rPr>
                <w:b w:val="0"/>
                <w:color w:val="24323E"/>
                <w:sz w:val="18"/>
              </w:rPr>
              <w:t>251.88</w:t>
            </w:r>
          </w:p>
        </w:tc>
      </w:tr>
      <w:tr>
        <w:trPr>
          <w:cantSplit/>
        </w:trPr>
        <w:tc>
          <w:tcPr>
            <w:tcW w:type="dxa" w:w="4268"/>
            <w:vAlign w:val="center"/>
            <w:shd w:fill="FFFFFF"/>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40" w:before="40" w:line="245" w:lineRule="auto"/>
            </w:pPr>
            <w:r>
              <w:rPr>
                <w:b w:val="0"/>
                <w:color w:val="24323E"/>
                <w:sz w:val="18"/>
              </w:rPr>
              <w:t>Exit annual EBITDA</w:t>
            </w:r>
          </w:p>
        </w:tc>
        <w:tc>
          <w:tcPr>
            <w:tcW w:type="dxa" w:w="1856"/>
            <w:vAlign w:val="center"/>
            <w:shd w:fill="FFFFFF"/>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40" w:before="40" w:line="245" w:lineRule="auto"/>
            </w:pPr>
            <w:r>
              <w:rPr>
                <w:b w:val="0"/>
                <w:color w:val="24323E"/>
                <w:sz w:val="18"/>
              </w:rPr>
              <w:t>25.55</w:t>
            </w:r>
          </w:p>
        </w:tc>
        <w:tc>
          <w:tcPr>
            <w:tcW w:type="dxa" w:w="1856"/>
            <w:vAlign w:val="center"/>
            <w:shd w:fill="FFFFFF"/>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40" w:before="40" w:line="245" w:lineRule="auto"/>
            </w:pPr>
            <w:r>
              <w:rPr>
                <w:b w:val="0"/>
                <w:color w:val="24323E"/>
                <w:sz w:val="18"/>
              </w:rPr>
              <w:t>36.00</w:t>
            </w:r>
          </w:p>
        </w:tc>
        <w:tc>
          <w:tcPr>
            <w:tcW w:type="dxa" w:w="1856"/>
            <w:vAlign w:val="center"/>
            <w:shd w:fill="FFFFFF"/>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40" w:before="40" w:line="245" w:lineRule="auto"/>
            </w:pPr>
            <w:r>
              <w:rPr>
                <w:b w:val="0"/>
                <w:color w:val="24323E"/>
                <w:sz w:val="18"/>
              </w:rPr>
              <w:t>38.75</w:t>
            </w:r>
          </w:p>
        </w:tc>
      </w:tr>
      <w:tr>
        <w:trPr>
          <w:cantSplit/>
        </w:trPr>
        <w:tc>
          <w:tcPr>
            <w:tcW w:type="dxa" w:w="4268"/>
            <w:vAlign w:val="center"/>
            <w:shd w:fill="F3F1EC"/>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40" w:before="40" w:line="245" w:lineRule="auto"/>
            </w:pPr>
            <w:r>
              <w:rPr>
                <w:b w:val="0"/>
                <w:color w:val="24323E"/>
                <w:sz w:val="18"/>
              </w:rPr>
              <w:t>Exit EBITDA margin percent</w:t>
            </w:r>
          </w:p>
        </w:tc>
        <w:tc>
          <w:tcPr>
            <w:tcW w:type="dxa" w:w="1856"/>
            <w:vAlign w:val="center"/>
            <w:shd w:fill="F3F1EC"/>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40" w:before="40" w:line="245" w:lineRule="auto"/>
            </w:pPr>
            <w:r>
              <w:rPr>
                <w:b w:val="0"/>
                <w:color w:val="24323E"/>
                <w:sz w:val="18"/>
              </w:rPr>
              <w:t>10.34</w:t>
            </w:r>
          </w:p>
        </w:tc>
        <w:tc>
          <w:tcPr>
            <w:tcW w:type="dxa" w:w="1856"/>
            <w:vAlign w:val="center"/>
            <w:shd w:fill="F3F1EC"/>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40" w:before="40" w:line="245" w:lineRule="auto"/>
            </w:pPr>
            <w:r>
              <w:rPr>
                <w:b w:val="0"/>
                <w:color w:val="24323E"/>
                <w:sz w:val="18"/>
              </w:rPr>
              <w:t>14.35</w:t>
            </w:r>
          </w:p>
        </w:tc>
        <w:tc>
          <w:tcPr>
            <w:tcW w:type="dxa" w:w="1856"/>
            <w:vAlign w:val="center"/>
            <w:shd w:fill="F3F1EC"/>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40" w:before="40" w:line="245" w:lineRule="auto"/>
            </w:pPr>
            <w:r>
              <w:rPr>
                <w:b w:val="0"/>
                <w:color w:val="24323E"/>
                <w:sz w:val="18"/>
              </w:rPr>
              <w:t>15.38</w:t>
            </w:r>
          </w:p>
        </w:tc>
      </w:tr>
      <w:tr>
        <w:trPr>
          <w:cantSplit/>
        </w:trPr>
        <w:tc>
          <w:tcPr>
            <w:tcW w:type="dxa" w:w="4268"/>
            <w:vAlign w:val="center"/>
            <w:shd w:fill="FFFFFF"/>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40" w:before="40" w:line="245" w:lineRule="auto"/>
            </w:pPr>
            <w:r>
              <w:rPr>
                <w:b w:val="0"/>
                <w:color w:val="24323E"/>
                <w:sz w:val="18"/>
              </w:rPr>
              <w:t>Total investment cash</w:t>
            </w:r>
          </w:p>
        </w:tc>
        <w:tc>
          <w:tcPr>
            <w:tcW w:type="dxa" w:w="1856"/>
            <w:vAlign w:val="center"/>
            <w:shd w:fill="FFFFFF"/>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40" w:before="40" w:line="245" w:lineRule="auto"/>
            </w:pPr>
            <w:r>
              <w:rPr>
                <w:b w:val="0"/>
                <w:color w:val="24323E"/>
                <w:sz w:val="18"/>
              </w:rPr>
              <w:t>20.70</w:t>
            </w:r>
          </w:p>
        </w:tc>
        <w:tc>
          <w:tcPr>
            <w:tcW w:type="dxa" w:w="1856"/>
            <w:vAlign w:val="center"/>
            <w:shd w:fill="FFFFFF"/>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40" w:before="40" w:line="245" w:lineRule="auto"/>
            </w:pPr>
            <w:r>
              <w:rPr>
                <w:b w:val="0"/>
                <w:color w:val="24323E"/>
                <w:sz w:val="18"/>
              </w:rPr>
              <w:t>18.00</w:t>
            </w:r>
          </w:p>
        </w:tc>
        <w:tc>
          <w:tcPr>
            <w:tcW w:type="dxa" w:w="1856"/>
            <w:vAlign w:val="center"/>
            <w:shd w:fill="FFFFFF"/>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40" w:before="40" w:line="245" w:lineRule="auto"/>
            </w:pPr>
            <w:r>
              <w:rPr>
                <w:b w:val="0"/>
                <w:color w:val="24323E"/>
                <w:sz w:val="18"/>
              </w:rPr>
              <w:t>18.00</w:t>
            </w:r>
          </w:p>
        </w:tc>
      </w:tr>
      <w:tr>
        <w:trPr>
          <w:cantSplit/>
        </w:trPr>
        <w:tc>
          <w:tcPr>
            <w:tcW w:type="dxa" w:w="4268"/>
            <w:vAlign w:val="center"/>
            <w:shd w:fill="F3F1EC"/>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40" w:before="40" w:line="245" w:lineRule="auto"/>
            </w:pPr>
            <w:r>
              <w:rPr>
                <w:b w:val="0"/>
                <w:color w:val="24323E"/>
                <w:sz w:val="18"/>
              </w:rPr>
              <w:t>Two-year cash before WC</w:t>
            </w:r>
          </w:p>
        </w:tc>
        <w:tc>
          <w:tcPr>
            <w:tcW w:type="dxa" w:w="1856"/>
            <w:vAlign w:val="center"/>
            <w:shd w:fill="F3F1EC"/>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40" w:before="40" w:line="245" w:lineRule="auto"/>
            </w:pPr>
            <w:r>
              <w:rPr>
                <w:b w:val="0"/>
                <w:color w:val="24323E"/>
                <w:sz w:val="18"/>
              </w:rPr>
              <w:t>-2.25</w:t>
            </w:r>
          </w:p>
        </w:tc>
        <w:tc>
          <w:tcPr>
            <w:tcW w:type="dxa" w:w="1856"/>
            <w:vAlign w:val="center"/>
            <w:shd w:fill="F3F1EC"/>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40" w:before="40" w:line="245" w:lineRule="auto"/>
            </w:pPr>
            <w:r>
              <w:rPr>
                <w:b w:val="0"/>
                <w:color w:val="24323E"/>
                <w:sz w:val="18"/>
              </w:rPr>
              <w:t>13.50</w:t>
            </w:r>
          </w:p>
        </w:tc>
        <w:tc>
          <w:tcPr>
            <w:tcW w:type="dxa" w:w="1856"/>
            <w:vAlign w:val="center"/>
            <w:shd w:fill="F3F1EC"/>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40" w:before="40" w:line="245" w:lineRule="auto"/>
            </w:pPr>
            <w:r>
              <w:rPr>
                <w:b w:val="0"/>
                <w:color w:val="24323E"/>
                <w:sz w:val="18"/>
              </w:rPr>
              <w:t>16.88</w:t>
            </w:r>
          </w:p>
        </w:tc>
      </w:tr>
      <w:tr>
        <w:trPr>
          <w:cantSplit/>
        </w:trPr>
        <w:tc>
          <w:tcPr>
            <w:tcW w:type="dxa" w:w="4268"/>
            <w:vAlign w:val="center"/>
            <w:shd w:fill="FFFFFF"/>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40" w:before="40" w:line="245" w:lineRule="auto"/>
            </w:pPr>
            <w:r>
              <w:rPr>
                <w:b w:val="0"/>
                <w:color w:val="24323E"/>
                <w:sz w:val="18"/>
              </w:rPr>
              <w:t>One-time WC release</w:t>
            </w:r>
          </w:p>
        </w:tc>
        <w:tc>
          <w:tcPr>
            <w:tcW w:type="dxa" w:w="1856"/>
            <w:vAlign w:val="center"/>
            <w:shd w:fill="FFFFFF"/>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40" w:before="40" w:line="245" w:lineRule="auto"/>
            </w:pPr>
            <w:r>
              <w:rPr>
                <w:b w:val="0"/>
                <w:color w:val="24323E"/>
                <w:sz w:val="18"/>
              </w:rPr>
              <w:t>8.00</w:t>
            </w:r>
          </w:p>
        </w:tc>
        <w:tc>
          <w:tcPr>
            <w:tcW w:type="dxa" w:w="1856"/>
            <w:vAlign w:val="center"/>
            <w:shd w:fill="FFFFFF"/>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40" w:before="40" w:line="245" w:lineRule="auto"/>
            </w:pPr>
            <w:r>
              <w:rPr>
                <w:b w:val="0"/>
                <w:color w:val="24323E"/>
                <w:sz w:val="18"/>
              </w:rPr>
              <w:t>12.00</w:t>
            </w:r>
          </w:p>
        </w:tc>
        <w:tc>
          <w:tcPr>
            <w:tcW w:type="dxa" w:w="1856"/>
            <w:vAlign w:val="center"/>
            <w:shd w:fill="FFFFFF"/>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40" w:before="40" w:line="245" w:lineRule="auto"/>
            </w:pPr>
            <w:r>
              <w:rPr>
                <w:b w:val="0"/>
                <w:color w:val="24323E"/>
                <w:sz w:val="18"/>
              </w:rPr>
              <w:t>13.00</w:t>
            </w:r>
          </w:p>
        </w:tc>
      </w:tr>
      <w:tr>
        <w:trPr>
          <w:cantSplit/>
        </w:trPr>
        <w:tc>
          <w:tcPr>
            <w:tcW w:type="dxa" w:w="4268"/>
            <w:vAlign w:val="center"/>
            <w:shd w:fill="F3F1EC"/>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40" w:before="40" w:line="245" w:lineRule="auto"/>
            </w:pPr>
            <w:r>
              <w:rPr>
                <w:b w:val="0"/>
                <w:color w:val="24323E"/>
                <w:sz w:val="18"/>
              </w:rPr>
              <w:t>Two-year cash after WC</w:t>
            </w:r>
          </w:p>
        </w:tc>
        <w:tc>
          <w:tcPr>
            <w:tcW w:type="dxa" w:w="1856"/>
            <w:vAlign w:val="center"/>
            <w:shd w:fill="F3F1EC"/>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40" w:before="40" w:line="245" w:lineRule="auto"/>
            </w:pPr>
            <w:r>
              <w:rPr>
                <w:b w:val="0"/>
                <w:color w:val="24323E"/>
                <w:sz w:val="18"/>
              </w:rPr>
              <w:t>5.75</w:t>
            </w:r>
          </w:p>
        </w:tc>
        <w:tc>
          <w:tcPr>
            <w:tcW w:type="dxa" w:w="1856"/>
            <w:vAlign w:val="center"/>
            <w:shd w:fill="F3F1EC"/>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40" w:before="40" w:line="245" w:lineRule="auto"/>
            </w:pPr>
            <w:r>
              <w:rPr>
                <w:b w:val="0"/>
                <w:color w:val="24323E"/>
                <w:sz w:val="18"/>
              </w:rPr>
              <w:t>25.50</w:t>
            </w:r>
          </w:p>
        </w:tc>
        <w:tc>
          <w:tcPr>
            <w:tcW w:type="dxa" w:w="1856"/>
            <w:vAlign w:val="center"/>
            <w:shd w:fill="F3F1EC"/>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40" w:before="40" w:line="245" w:lineRule="auto"/>
            </w:pPr>
            <w:r>
              <w:rPr>
                <w:b w:val="0"/>
                <w:color w:val="24323E"/>
                <w:sz w:val="18"/>
              </w:rPr>
              <w:t>29.88</w:t>
            </w:r>
          </w:p>
        </w:tc>
      </w:tr>
    </w:tbl>
    <w:p>
      <w:pPr>
        <w:spacing w:after="0" w:line="60" w:lineRule="exact"/>
      </w:pPr>
      <w:r>
        <w:rPr>
          <w:sz w:val="4"/>
        </w:rPr>
        <w:t xml:space="preserve"> </w:t>
      </w:r>
    </w:p>
    <w:p>
      <w:r>
        <w:t>Downside capture is 65% of base benefits, with recurring annual cost of 3.30 and a 15% investment overrun. The result improves exit profit, but two-year cash before working capital is negative 2.25. The 2.70 excess above the 18.00 envelope requires a fresh Board decision or a scope reduction. Cash release is not a substitute for that authority.</w:t>
      </w:r>
    </w:p>
    <w:p>
      <w:r>
        <w:t>Upside capture is 110%, with annual recurring cost 3.15. The result is an assumption test, not a probability-weighted forecast. The model applies the same capture factor to benefit phasing and preserves a half-year recurring cost ramp in 2027.</w:t>
      </w:r>
    </w:p>
    <w:p>
      <w:r>
        <w:t>Each percentage point of repricing on the 60.00 pool changes annual EBITDA by 0.60. Ten fewer cross-sell wins reduce revenue by 4.00 and contribution by 1.40. Retaining ten funded positions reduces the proposed saving by 1.20. These isolated sensitivities must not be stacked on a downside that already captures them.</w:t>
      </w:r>
    </w:p>
    <w:p>
      <w:r>
        <w:t>No NPV or IRR is supplied. A full valuation would require approved assumptions for horizon, discount rate, taxes, residual value and cash timing. A ratio of exit EBITDA improvement to investment would answer a different question.</w:t>
      </w:r>
    </w:p>
    <w:p>
      <w:r>
        <w:rPr>
          <w:i/>
          <w:sz w:val="16"/>
        </w:rPr>
        <w:t>Source: SRC07: Scenarios and sensitivities, section 10; SRC14: Assumptions and gaps, section 19. All case evidence is fictional.</w:t>
      </w:r>
    </w:p>
    <w:p>
      <w:pPr>
        <w:pStyle w:val="Heading1"/>
        <w:pageBreakBefore/>
      </w:pPr>
      <w:r>
        <w:t>Delivery accountability and risk</w:t>
      </w:r>
    </w:p>
    <w:p>
      <w:r>
        <w:t>The CEO sponsors a ten-FTE office with eight internal secondments and two temporary external specialists. A further 24 FTE of line capacity is required. All 32 internal FTE releases remain proposed. Protected programme roles and essential specialists are excluded from the 50-position reduction plan.</w:t>
      </w:r>
    </w:p>
    <w:p>
      <w:r>
        <w:t>The first quarter establishes one data foundation and two operating pilots. Data definitions precede workflow validation; compliant service evidence precedes workforce cost removal. Each pilot needs four consecutive weeks at at least 90% SLA and 78% first-time resolution, without material safety or complaint deterioration. The company-wide day-90 targets are lower: 88% and 75%.</w:t>
      </w:r>
    </w:p>
    <w:tbl>
      <w:tblPr>
        <w:tblW w:type="auto" w:w="0"/>
        <w:jc w:val="center"/>
        <w:tblLayout w:type="fixed"/>
        <w:tblLook w:firstColumn="1" w:firstRow="1" w:lastColumn="0" w:lastRow="0" w:noHBand="0" w:noVBand="1" w:val="04A0"/>
      </w:tblPr>
      <w:tblGrid>
        <w:gridCol w:w="2893"/>
        <w:gridCol w:w="6942"/>
      </w:tblGrid>
      <w:tr>
        <w:trPr>
          <w:cantSplit/>
          <w:tblHeader/>
        </w:trPr>
        <w:tc>
          <w:tcPr>
            <w:tcW w:type="dxa" w:w="2893"/>
            <w:vAlign w:val="center"/>
            <w:shd w:fill="142D43"/>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40" w:before="40" w:line="245" w:lineRule="auto"/>
            </w:pPr>
            <w:r>
              <w:rPr>
                <w:b/>
                <w:color w:val="FFFFFF"/>
                <w:sz w:val="18"/>
              </w:rPr>
              <w:t>Risk</w:t>
            </w:r>
          </w:p>
        </w:tc>
        <w:tc>
          <w:tcPr>
            <w:tcW w:type="dxa" w:w="6942"/>
            <w:vAlign w:val="center"/>
            <w:shd w:fill="142D43"/>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40" w:before="40" w:line="245" w:lineRule="auto"/>
            </w:pPr>
            <w:r>
              <w:rPr>
                <w:b/>
                <w:color w:val="FFFFFF"/>
                <w:sz w:val="18"/>
              </w:rPr>
              <w:t>Accountable response</w:t>
            </w:r>
          </w:p>
        </w:tc>
      </w:tr>
      <w:tr>
        <w:trPr>
          <w:cantSplit/>
        </w:trPr>
        <w:tc>
          <w:tcPr>
            <w:tcW w:type="dxa" w:w="2893"/>
            <w:vAlign w:val="center"/>
            <w:shd w:fill="F3F1EC"/>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40" w:before="40" w:line="245" w:lineRule="auto"/>
            </w:pPr>
            <w:r>
              <w:rPr>
                <w:b w:val="0"/>
                <w:color w:val="24323E"/>
                <w:sz w:val="18"/>
              </w:rPr>
              <w:t>R01 Service disruption</w:t>
            </w:r>
          </w:p>
        </w:tc>
        <w:tc>
          <w:tcPr>
            <w:tcW w:type="dxa" w:w="6942"/>
            <w:vAlign w:val="center"/>
            <w:shd w:fill="F3F1EC"/>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40" w:before="40" w:line="245" w:lineRule="auto"/>
            </w:pPr>
            <w:r>
              <w:rPr>
                <w:b w:val="0"/>
                <w:color w:val="24323E"/>
                <w:sz w:val="18"/>
              </w:rPr>
              <w:t>COO holds expansion and restores service or rolls back.</w:t>
            </w:r>
          </w:p>
        </w:tc>
      </w:tr>
      <w:tr>
        <w:trPr>
          <w:cantSplit/>
        </w:trPr>
        <w:tc>
          <w:tcPr>
            <w:tcW w:type="dxa" w:w="2893"/>
            <w:vAlign w:val="center"/>
            <w:shd w:fill="FFFFFF"/>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40" w:before="40" w:line="245" w:lineRule="auto"/>
            </w:pPr>
            <w:r>
              <w:rPr>
                <w:b w:val="0"/>
                <w:color w:val="24323E"/>
                <w:sz w:val="18"/>
              </w:rPr>
              <w:t>R02 Benefit overlap</w:t>
            </w:r>
          </w:p>
        </w:tc>
        <w:tc>
          <w:tcPr>
            <w:tcW w:type="dxa" w:w="6942"/>
            <w:vAlign w:val="center"/>
            <w:shd w:fill="FFFFFF"/>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40" w:before="40" w:line="245" w:lineRule="auto"/>
            </w:pPr>
            <w:r>
              <w:rPr>
                <w:b w:val="0"/>
                <w:color w:val="24323E"/>
                <w:sz w:val="18"/>
              </w:rPr>
              <w:t>CFO rejects unsupported claims and requires a recovery forecast.</w:t>
            </w:r>
          </w:p>
        </w:tc>
      </w:tr>
      <w:tr>
        <w:trPr>
          <w:cantSplit/>
        </w:trPr>
        <w:tc>
          <w:tcPr>
            <w:tcW w:type="dxa" w:w="2893"/>
            <w:vAlign w:val="center"/>
            <w:shd w:fill="F3F1EC"/>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40" w:before="40" w:line="245" w:lineRule="auto"/>
            </w:pPr>
            <w:r>
              <w:rPr>
                <w:b w:val="0"/>
                <w:color w:val="24323E"/>
                <w:sz w:val="18"/>
              </w:rPr>
              <w:t>R03 Cash below 8.00</w:t>
            </w:r>
          </w:p>
        </w:tc>
        <w:tc>
          <w:tcPr>
            <w:tcW w:type="dxa" w:w="6942"/>
            <w:vAlign w:val="center"/>
            <w:shd w:fill="F3F1EC"/>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40" w:before="40" w:line="245" w:lineRule="auto"/>
            </w:pPr>
            <w:r>
              <w:rPr>
                <w:b w:val="0"/>
                <w:color w:val="24323E"/>
                <w:sz w:val="18"/>
              </w:rPr>
              <w:t>CFO escalates immediately and freezes discretionary commitments.</w:t>
            </w:r>
          </w:p>
        </w:tc>
      </w:tr>
      <w:tr>
        <w:trPr>
          <w:cantSplit/>
        </w:trPr>
        <w:tc>
          <w:tcPr>
            <w:tcW w:type="dxa" w:w="2893"/>
            <w:vAlign w:val="center"/>
            <w:shd w:fill="FFFFFF"/>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40" w:before="40" w:line="245" w:lineRule="auto"/>
            </w:pPr>
            <w:r>
              <w:rPr>
                <w:b w:val="0"/>
                <w:color w:val="24323E"/>
                <w:sz w:val="18"/>
              </w:rPr>
              <w:t>R05 Premature position removal</w:t>
            </w:r>
          </w:p>
        </w:tc>
        <w:tc>
          <w:tcPr>
            <w:tcW w:type="dxa" w:w="6942"/>
            <w:vAlign w:val="center"/>
            <w:shd w:fill="FFFFFF"/>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40" w:before="40" w:line="245" w:lineRule="auto"/>
            </w:pPr>
            <w:r>
              <w:rPr>
                <w:b w:val="0"/>
                <w:color w:val="24323E"/>
                <w:sz w:val="18"/>
              </w:rPr>
              <w:t>COO and CHRO pause releases until service evidence passes.</w:t>
            </w:r>
          </w:p>
        </w:tc>
      </w:tr>
      <w:tr>
        <w:trPr>
          <w:cantSplit/>
        </w:trPr>
        <w:tc>
          <w:tcPr>
            <w:tcW w:type="dxa" w:w="2893"/>
            <w:vAlign w:val="center"/>
            <w:shd w:fill="F3F1EC"/>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40" w:before="40" w:line="245" w:lineRule="auto"/>
            </w:pPr>
            <w:r>
              <w:rPr>
                <w:b w:val="0"/>
                <w:color w:val="24323E"/>
                <w:sz w:val="18"/>
              </w:rPr>
              <w:t>R09 Capacity withheld</w:t>
            </w:r>
          </w:p>
        </w:tc>
        <w:tc>
          <w:tcPr>
            <w:tcW w:type="dxa" w:w="6942"/>
            <w:vAlign w:val="center"/>
            <w:shd w:fill="F3F1EC"/>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40" w:before="40" w:line="245" w:lineRule="auto"/>
            </w:pPr>
            <w:r>
              <w:rPr>
                <w:b w:val="0"/>
                <w:color w:val="24323E"/>
                <w:sz w:val="18"/>
              </w:rPr>
              <w:t>CEO reprioritises commitments or reduces scope.</w:t>
            </w:r>
          </w:p>
        </w:tc>
      </w:tr>
    </w:tbl>
    <w:p>
      <w:pPr>
        <w:spacing w:after="0" w:line="60" w:lineRule="exact"/>
      </w:pPr>
      <w:r>
        <w:rPr>
          <w:sz w:val="4"/>
        </w:rPr>
        <w:t xml:space="preserve"> </w:t>
      </w:r>
    </w:p>
    <w:p>
      <w:r>
        <w:t>Finance validates the baseline and actual ledger effects. The Transformation Director coordinates milestones and escalation but cannot approve its own investment or claim line benefits. The Board retains envelope changes and customer exits above 2.00 annual revenue per relationship.</w:t>
      </w:r>
    </w:p>
    <w:p>
      <w:r>
        <w:rPr>
          <w:i/>
          <w:sz w:val="16"/>
        </w:rPr>
        <w:t>Source: SRC08: Workstreams and portfolio, section 11; SRC09: First 90 days and roadmap, sections 12 and 13; SRC10: Office and governance, sections 14 and 18; SRC13: Risks and issues, section 17. All case evidence is fictional.</w:t>
      </w:r>
    </w:p>
    <w:p>
      <w:pPr>
        <w:pStyle w:val="Heading1"/>
        <w:pageBreakBefore/>
      </w:pPr>
      <w:r>
        <w:t>Proposed Board resolution and day 90 evidence</w:t>
      </w:r>
    </w:p>
    <w:p>
      <w:r>
        <w:t>Proposed resolution for consideration: endorse the Acme Service and Profitability Transformation strategic direction and hybrid delivery model for January 2027 to December 2028; approve an 18.00 conditional funding envelope comprising 12.00 expense and 6.00 capital, subject to accounting validation; and authorise an initial 3.50 mobilisation release with documented cash and capacity controls.</w:t>
      </w:r>
    </w:p>
    <w:p>
      <w:r>
        <w:t>Reserve the remaining 14.50 for staged decisions. Require the CFO to provide a rolling 13-week cash forecast covering the full business, the CEO to confirm named resource releases, and accountable executives to accept the benefit profiles and service safeguards. Record open assumptions and any release conditions in the decision log. This wording remains proposed and unsigned.</w:t>
      </w:r>
    </w:p>
    <w:p>
      <w:r>
        <w:t>At day 90, require a usable Finance baseline, controlled metric dictionary, separate four-week results for each pilot, benefit validation records, funded next-wave capacity, a current risk assessment and a cash forecast above the 8.00 floor. The Steering Committee recommends the next release; it does not convert an unmet condition into approval by reporting an average pilot result.</w:t>
      </w:r>
    </w:p>
    <w:p>
      <w:r>
        <w:t>If the gate fails, preserve service coverage, investigate the failure and replan. A bounded remediation tranche needs an explicit decision, stated purpose and acceptance evidence. Hold wider rollout and dependent workforce reductions. The Board retains changes to the total envelope, material strategic scope and specified customer exits.</w:t>
      </w:r>
    </w:p>
    <w:tbl>
      <w:tblPr>
        <w:tblW w:type="auto" w:w="0"/>
        <w:jc w:val="center"/>
        <w:tblLayout w:type="fixed"/>
        <w:tblLook w:firstColumn="1" w:firstRow="1" w:lastColumn="0" w:lastRow="0" w:noHBand="0" w:noVBand="1" w:val="04A0"/>
      </w:tblPr>
      <w:tblGrid>
        <w:gridCol w:w="2754"/>
        <w:gridCol w:w="2754"/>
        <w:gridCol w:w="4327"/>
      </w:tblGrid>
      <w:tr>
        <w:trPr>
          <w:cantSplit/>
          <w:tblHeader/>
        </w:trPr>
        <w:tc>
          <w:tcPr>
            <w:tcW w:type="dxa" w:w="2754"/>
            <w:vAlign w:val="center"/>
            <w:shd w:fill="142D43"/>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40" w:before="40" w:line="245" w:lineRule="auto"/>
            </w:pPr>
            <w:r>
              <w:rPr>
                <w:b/>
                <w:color w:val="FFFFFF"/>
                <w:sz w:val="18"/>
              </w:rPr>
              <w:t>ID and decision</w:t>
            </w:r>
          </w:p>
        </w:tc>
        <w:tc>
          <w:tcPr>
            <w:tcW w:type="dxa" w:w="2754"/>
            <w:vAlign w:val="center"/>
            <w:shd w:fill="142D43"/>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40" w:before="40" w:line="245" w:lineRule="auto"/>
            </w:pPr>
            <w:r>
              <w:rPr>
                <w:b/>
                <w:color w:val="FFFFFF"/>
                <w:sz w:val="18"/>
              </w:rPr>
              <w:t>Authority and due date</w:t>
            </w:r>
          </w:p>
        </w:tc>
        <w:tc>
          <w:tcPr>
            <w:tcW w:type="dxa" w:w="4327"/>
            <w:vAlign w:val="center"/>
            <w:shd w:fill="142D43"/>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40" w:before="40" w:line="245" w:lineRule="auto"/>
            </w:pPr>
            <w:r>
              <w:rPr>
                <w:b/>
                <w:color w:val="FFFFFF"/>
                <w:sz w:val="18"/>
              </w:rPr>
              <w:t>Status and required evidence</w:t>
            </w:r>
          </w:p>
        </w:tc>
      </w:tr>
      <w:tr>
        <w:trPr>
          <w:cantSplit/>
        </w:trPr>
        <w:tc>
          <w:tcPr>
            <w:tcW w:type="dxa" w:w="2754"/>
            <w:vAlign w:val="center"/>
            <w:shd w:fill="F3F1EC"/>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40" w:before="40" w:line="245" w:lineRule="auto"/>
            </w:pPr>
            <w:r>
              <w:rPr>
                <w:b w:val="0"/>
                <w:color w:val="24323E"/>
                <w:sz w:val="18"/>
              </w:rPr>
              <w:t>D01 Hybrid model, conditional 18.00 envelope and initial 3.50 release</w:t>
            </w:r>
          </w:p>
        </w:tc>
        <w:tc>
          <w:tcPr>
            <w:tcW w:type="dxa" w:w="2754"/>
            <w:vAlign w:val="center"/>
            <w:shd w:fill="F3F1EC"/>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40" w:before="40" w:line="245" w:lineRule="auto"/>
            </w:pPr>
            <w:r>
              <w:rPr>
                <w:b w:val="0"/>
                <w:color w:val="24323E"/>
                <w:sz w:val="18"/>
              </w:rPr>
              <w:t>Board, 18 Dec 2026</w:t>
            </w:r>
          </w:p>
        </w:tc>
        <w:tc>
          <w:tcPr>
            <w:tcW w:type="dxa" w:w="4327"/>
            <w:vAlign w:val="center"/>
            <w:shd w:fill="F3F1EC"/>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40" w:before="40" w:line="245" w:lineRule="auto"/>
            </w:pPr>
            <w:r>
              <w:rPr>
                <w:b w:val="0"/>
                <w:color w:val="24323E"/>
                <w:sz w:val="18"/>
              </w:rPr>
              <w:t>Proposed. Funding authorisation, named capacity release and cash control required.</w:t>
            </w:r>
          </w:p>
        </w:tc>
      </w:tr>
      <w:tr>
        <w:trPr>
          <w:cantSplit/>
        </w:trPr>
        <w:tc>
          <w:tcPr>
            <w:tcW w:type="dxa" w:w="2754"/>
            <w:vAlign w:val="center"/>
            <w:shd w:fill="FFFFFF"/>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40" w:before="40" w:line="245" w:lineRule="auto"/>
            </w:pPr>
            <w:r>
              <w:rPr>
                <w:b w:val="0"/>
                <w:color w:val="24323E"/>
                <w:sz w:val="18"/>
              </w:rPr>
              <w:t>D02 Next funding release after day 90</w:t>
            </w:r>
          </w:p>
        </w:tc>
        <w:tc>
          <w:tcPr>
            <w:tcW w:type="dxa" w:w="2754"/>
            <w:vAlign w:val="center"/>
            <w:shd w:fill="FFFFFF"/>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40" w:before="40" w:line="245" w:lineRule="auto"/>
            </w:pPr>
            <w:r>
              <w:rPr>
                <w:b w:val="0"/>
                <w:color w:val="24323E"/>
                <w:sz w:val="18"/>
              </w:rPr>
              <w:t>Board funding decision, 31 Mar 2027</w:t>
            </w:r>
          </w:p>
        </w:tc>
        <w:tc>
          <w:tcPr>
            <w:tcW w:type="dxa" w:w="4327"/>
            <w:vAlign w:val="center"/>
            <w:shd w:fill="FFFFFF"/>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40" w:before="40" w:line="245" w:lineRule="auto"/>
            </w:pPr>
            <w:r>
              <w:rPr>
                <w:b w:val="0"/>
                <w:color w:val="24323E"/>
                <w:sz w:val="18"/>
              </w:rPr>
              <w:t>Reserved. Finance baseline, service gates, funded next-wave capacity and 13-week cash forecast required.</w:t>
            </w:r>
          </w:p>
        </w:tc>
      </w:tr>
      <w:tr>
        <w:trPr>
          <w:cantSplit/>
        </w:trPr>
        <w:tc>
          <w:tcPr>
            <w:tcW w:type="dxa" w:w="2754"/>
            <w:vAlign w:val="center"/>
            <w:shd w:fill="F3F1EC"/>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40" w:before="40" w:line="245" w:lineRule="auto"/>
            </w:pPr>
            <w:r>
              <w:rPr>
                <w:b w:val="0"/>
                <w:color w:val="24323E"/>
                <w:sz w:val="18"/>
              </w:rPr>
              <w:t>D03 Pilot rollout and dependent workforce changes</w:t>
            </w:r>
          </w:p>
        </w:tc>
        <w:tc>
          <w:tcPr>
            <w:tcW w:type="dxa" w:w="2754"/>
            <w:vAlign w:val="center"/>
            <w:shd w:fill="F3F1EC"/>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40" w:before="40" w:line="245" w:lineRule="auto"/>
            </w:pPr>
            <w:r>
              <w:rPr>
                <w:b w:val="0"/>
                <w:color w:val="24323E"/>
                <w:sz w:val="18"/>
              </w:rPr>
              <w:t>COO readiness decision; relevant funding authority</w:t>
            </w:r>
          </w:p>
        </w:tc>
        <w:tc>
          <w:tcPr>
            <w:tcW w:type="dxa" w:w="4327"/>
            <w:vAlign w:val="center"/>
            <w:shd w:fill="F3F1EC"/>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40" w:before="40" w:line="245" w:lineRule="auto"/>
            </w:pPr>
            <w:r>
              <w:rPr>
                <w:b w:val="0"/>
                <w:color w:val="24323E"/>
                <w:sz w:val="18"/>
              </w:rPr>
              <w:t>Reserved. Each pilot meets both service gates for four weeks. HR review and funded-cost evidence required.</w:t>
            </w:r>
          </w:p>
        </w:tc>
      </w:tr>
      <w:tr>
        <w:trPr>
          <w:cantSplit/>
        </w:trPr>
        <w:tc>
          <w:tcPr>
            <w:tcW w:type="dxa" w:w="2754"/>
            <w:vAlign w:val="center"/>
            <w:shd w:fill="FFFFFF"/>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40" w:before="40" w:line="245" w:lineRule="auto"/>
            </w:pPr>
            <w:r>
              <w:rPr>
                <w:b w:val="0"/>
                <w:color w:val="24323E"/>
                <w:sz w:val="18"/>
              </w:rPr>
              <w:t>D04 Material scope or envelope change</w:t>
            </w:r>
          </w:p>
        </w:tc>
        <w:tc>
          <w:tcPr>
            <w:tcW w:type="dxa" w:w="2754"/>
            <w:vAlign w:val="center"/>
            <w:shd w:fill="FFFFFF"/>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40" w:before="40" w:line="245" w:lineRule="auto"/>
            </w:pPr>
            <w:r>
              <w:rPr>
                <w:b w:val="0"/>
                <w:color w:val="24323E"/>
                <w:sz w:val="18"/>
              </w:rPr>
              <w:t>Board, before commitment</w:t>
            </w:r>
          </w:p>
        </w:tc>
        <w:tc>
          <w:tcPr>
            <w:tcW w:type="dxa" w:w="4327"/>
            <w:vAlign w:val="center"/>
            <w:shd w:fill="FFFFFF"/>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40" w:before="40" w:line="245" w:lineRule="auto"/>
            </w:pPr>
            <w:r>
              <w:rPr>
                <w:b w:val="0"/>
                <w:color w:val="24323E"/>
                <w:sz w:val="18"/>
              </w:rPr>
              <w:t>Reserved. Scenario, cash and service consequences required. No baseline approval exists.</w:t>
            </w:r>
          </w:p>
        </w:tc>
      </w:tr>
    </w:tbl>
    <w:p>
      <w:pPr>
        <w:spacing w:after="0" w:line="60" w:lineRule="exact"/>
      </w:pPr>
      <w:r>
        <w:rPr>
          <w:sz w:val="4"/>
        </w:rPr>
        <w:t xml:space="preserve"> </w:t>
      </w:r>
    </w:p>
    <w:p>
      <w:r>
        <w:rPr>
          <w:i/>
          <w:sz w:val="16"/>
        </w:rPr>
        <w:t>Source: SRC06: Investment and cash, section 9; SRC09: First 90 days and roadmap, sections 12 and 13; SRC10: Office and governance, sections 14 and 18; SRC14: Assumptions and gaps, section 19. All case evidence is fictional.</w:t>
      </w:r>
    </w:p>
    <w:p>
      <w:pPr>
        <w:pStyle w:val="Heading1"/>
        <w:pageBreakBefore/>
      </w:pPr>
      <w:r>
        <w:t>Assumptions and unresolved inputs</w:t>
      </w:r>
    </w:p>
    <w:p>
      <w:r>
        <w:t>These items remain open in the fictional baseline. The decision paper does not imply that suppliers, Finance, customers or any Board have independently verified them.</w:t>
      </w:r>
    </w:p>
    <w:tbl>
      <w:tblPr>
        <w:tblW w:type="auto" w:w="0"/>
        <w:jc w:val="center"/>
        <w:tblLayout w:type="fixed"/>
        <w:tblLook w:firstColumn="1" w:firstRow="1" w:lastColumn="0" w:lastRow="0" w:noHBand="0" w:noVBand="1" w:val="04A0"/>
      </w:tblPr>
      <w:tblGrid>
        <w:gridCol w:w="2754"/>
        <w:gridCol w:w="2754"/>
        <w:gridCol w:w="4327"/>
      </w:tblGrid>
      <w:tr>
        <w:trPr>
          <w:cantSplit/>
          <w:tblHeader/>
        </w:trPr>
        <w:tc>
          <w:tcPr>
            <w:tcW w:type="dxa" w:w="2754"/>
            <w:vAlign w:val="center"/>
            <w:shd w:fill="142D43"/>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40" w:before="40" w:line="245" w:lineRule="auto"/>
            </w:pPr>
            <w:r>
              <w:rPr>
                <w:b/>
                <w:color w:val="FFFFFF"/>
                <w:sz w:val="18"/>
              </w:rPr>
              <w:t>ID</w:t>
            </w:r>
          </w:p>
        </w:tc>
        <w:tc>
          <w:tcPr>
            <w:tcW w:type="dxa" w:w="2754"/>
            <w:vAlign w:val="center"/>
            <w:shd w:fill="142D43"/>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40" w:before="40" w:line="245" w:lineRule="auto"/>
            </w:pPr>
            <w:r>
              <w:rPr>
                <w:b/>
                <w:color w:val="FFFFFF"/>
                <w:sz w:val="18"/>
              </w:rPr>
              <w:t>Assumption or gap</w:t>
            </w:r>
          </w:p>
        </w:tc>
        <w:tc>
          <w:tcPr>
            <w:tcW w:type="dxa" w:w="4327"/>
            <w:vAlign w:val="center"/>
            <w:shd w:fill="142D43"/>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40" w:before="40" w:line="245" w:lineRule="auto"/>
            </w:pPr>
            <w:r>
              <w:rPr>
                <w:b/>
                <w:color w:val="FFFFFF"/>
                <w:sz w:val="18"/>
              </w:rPr>
              <w:t>Consequence and validation owner</w:t>
            </w:r>
          </w:p>
        </w:tc>
      </w:tr>
      <w:tr>
        <w:trPr>
          <w:cantSplit/>
        </w:trPr>
        <w:tc>
          <w:tcPr>
            <w:tcW w:type="dxa" w:w="2754"/>
            <w:vAlign w:val="center"/>
            <w:shd w:fill="F3F1EC"/>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40" w:before="40" w:line="245" w:lineRule="auto"/>
            </w:pPr>
            <w:r>
              <w:rPr>
                <w:b w:val="0"/>
                <w:color w:val="24323E"/>
                <w:sz w:val="18"/>
              </w:rPr>
              <w:t>A01</w:t>
            </w:r>
          </w:p>
        </w:tc>
        <w:tc>
          <w:tcPr>
            <w:tcW w:type="dxa" w:w="2754"/>
            <w:vAlign w:val="center"/>
            <w:shd w:fill="F3F1EC"/>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40" w:before="40" w:line="245" w:lineRule="auto"/>
            </w:pPr>
            <w:r>
              <w:rPr>
                <w:b w:val="0"/>
                <w:color w:val="24323E"/>
                <w:sz w:val="18"/>
              </w:rPr>
              <w:t>Existing business held flat before programme changes</w:t>
            </w:r>
          </w:p>
        </w:tc>
        <w:tc>
          <w:tcPr>
            <w:tcW w:type="dxa" w:w="4327"/>
            <w:vAlign w:val="center"/>
            <w:shd w:fill="F3F1EC"/>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40" w:before="40" w:line="245" w:lineRule="auto"/>
            </w:pPr>
            <w:r>
              <w:rPr>
                <w:b w:val="0"/>
                <w:color w:val="24323E"/>
                <w:sz w:val="18"/>
              </w:rPr>
              <w:t>CFO must develop a normalised business-as-usual forecast</w:t>
            </w:r>
          </w:p>
        </w:tc>
      </w:tr>
      <w:tr>
        <w:trPr>
          <w:cantSplit/>
        </w:trPr>
        <w:tc>
          <w:tcPr>
            <w:tcW w:type="dxa" w:w="2754"/>
            <w:vAlign w:val="center"/>
            <w:shd w:fill="FFFFFF"/>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40" w:before="40" w:line="245" w:lineRule="auto"/>
            </w:pPr>
            <w:r>
              <w:rPr>
                <w:b w:val="0"/>
                <w:color w:val="24323E"/>
                <w:sz w:val="18"/>
              </w:rPr>
              <w:t>A02</w:t>
            </w:r>
          </w:p>
        </w:tc>
        <w:tc>
          <w:tcPr>
            <w:tcW w:type="dxa" w:w="2754"/>
            <w:vAlign w:val="center"/>
            <w:shd w:fill="FFFFFF"/>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40" w:before="40" w:line="245" w:lineRule="auto"/>
            </w:pPr>
            <w:r>
              <w:rPr>
                <w:b w:val="0"/>
                <w:color w:val="24323E"/>
                <w:sz w:val="18"/>
              </w:rPr>
              <w:t>Effective repricing uplift reaches 8% on the defined pool</w:t>
            </w:r>
          </w:p>
        </w:tc>
        <w:tc>
          <w:tcPr>
            <w:tcW w:type="dxa" w:w="4327"/>
            <w:vAlign w:val="center"/>
            <w:shd w:fill="FFFFFF"/>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40" w:before="40" w:line="245" w:lineRule="auto"/>
            </w:pPr>
            <w:r>
              <w:rPr>
                <w:b w:val="0"/>
                <w:color w:val="24323E"/>
                <w:sz w:val="18"/>
              </w:rPr>
              <w:t>CCO validates customer response, concessions and retention</w:t>
            </w:r>
          </w:p>
        </w:tc>
      </w:tr>
      <w:tr>
        <w:trPr>
          <w:cantSplit/>
        </w:trPr>
        <w:tc>
          <w:tcPr>
            <w:tcW w:type="dxa" w:w="2754"/>
            <w:vAlign w:val="center"/>
            <w:shd w:fill="F3F1EC"/>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40" w:before="40" w:line="245" w:lineRule="auto"/>
            </w:pPr>
            <w:r>
              <w:rPr>
                <w:b w:val="0"/>
                <w:color w:val="24323E"/>
                <w:sz w:val="18"/>
              </w:rPr>
              <w:t>A03</w:t>
            </w:r>
          </w:p>
        </w:tc>
        <w:tc>
          <w:tcPr>
            <w:tcW w:type="dxa" w:w="2754"/>
            <w:vAlign w:val="center"/>
            <w:shd w:fill="F3F1EC"/>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40" w:before="40" w:line="245" w:lineRule="auto"/>
            </w:pPr>
            <w:r>
              <w:rPr>
                <w:b w:val="0"/>
                <w:color w:val="24323E"/>
                <w:sz w:val="18"/>
              </w:rPr>
              <w:t>Cross-sell contribution reaches 35% after delivery cost</w:t>
            </w:r>
          </w:p>
        </w:tc>
        <w:tc>
          <w:tcPr>
            <w:tcW w:type="dxa" w:w="4327"/>
            <w:vAlign w:val="center"/>
            <w:shd w:fill="F3F1EC"/>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40" w:before="40" w:line="245" w:lineRule="auto"/>
            </w:pPr>
            <w:r>
              <w:rPr>
                <w:b w:val="0"/>
                <w:color w:val="24323E"/>
                <w:sz w:val="18"/>
              </w:rPr>
              <w:t>COO and CFO confirm capacity and margin by opportunity</w:t>
            </w:r>
          </w:p>
        </w:tc>
      </w:tr>
      <w:tr>
        <w:trPr>
          <w:cantSplit/>
        </w:trPr>
        <w:tc>
          <w:tcPr>
            <w:tcW w:type="dxa" w:w="2754"/>
            <w:vAlign w:val="center"/>
            <w:shd w:fill="FFFFFF"/>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40" w:before="40" w:line="245" w:lineRule="auto"/>
            </w:pPr>
            <w:r>
              <w:rPr>
                <w:b w:val="0"/>
                <w:color w:val="24323E"/>
                <w:sz w:val="18"/>
              </w:rPr>
              <w:t>A04</w:t>
            </w:r>
          </w:p>
        </w:tc>
        <w:tc>
          <w:tcPr>
            <w:tcW w:type="dxa" w:w="2754"/>
            <w:vAlign w:val="center"/>
            <w:shd w:fill="FFFFFF"/>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40" w:before="40" w:line="245" w:lineRule="auto"/>
            </w:pPr>
            <w:r>
              <w:rPr>
                <w:b w:val="0"/>
                <w:color w:val="24323E"/>
                <w:sz w:val="18"/>
              </w:rPr>
              <w:t>Fifty funded positions can be removed without service damage</w:t>
            </w:r>
          </w:p>
        </w:tc>
        <w:tc>
          <w:tcPr>
            <w:tcW w:type="dxa" w:w="4327"/>
            <w:vAlign w:val="center"/>
            <w:shd w:fill="FFFFFF"/>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40" w:before="40" w:line="245" w:lineRule="auto"/>
            </w:pPr>
            <w:r>
              <w:rPr>
                <w:b w:val="0"/>
                <w:color w:val="24323E"/>
                <w:sz w:val="18"/>
              </w:rPr>
              <w:t>COO and CHRO verify pilot evidence and role plan</w:t>
            </w:r>
          </w:p>
        </w:tc>
      </w:tr>
      <w:tr>
        <w:trPr>
          <w:cantSplit/>
        </w:trPr>
        <w:tc>
          <w:tcPr>
            <w:tcW w:type="dxa" w:w="2754"/>
            <w:vAlign w:val="center"/>
            <w:shd w:fill="F3F1EC"/>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40" w:before="40" w:line="245" w:lineRule="auto"/>
            </w:pPr>
            <w:r>
              <w:rPr>
                <w:b w:val="0"/>
                <w:color w:val="24323E"/>
                <w:sz w:val="18"/>
              </w:rPr>
              <w:t>A05</w:t>
            </w:r>
          </w:p>
        </w:tc>
        <w:tc>
          <w:tcPr>
            <w:tcW w:type="dxa" w:w="2754"/>
            <w:vAlign w:val="center"/>
            <w:shd w:fill="F3F1EC"/>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40" w:before="40" w:line="245" w:lineRule="auto"/>
            </w:pPr>
            <w:r>
              <w:rPr>
                <w:b w:val="0"/>
                <w:color w:val="24323E"/>
                <w:sz w:val="18"/>
              </w:rPr>
              <w:t>Contract exits remove 7.00 of genuinely avoidable cost</w:t>
            </w:r>
          </w:p>
        </w:tc>
        <w:tc>
          <w:tcPr>
            <w:tcW w:type="dxa" w:w="4327"/>
            <w:vAlign w:val="center"/>
            <w:shd w:fill="F3F1EC"/>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40" w:before="40" w:line="245" w:lineRule="auto"/>
            </w:pPr>
            <w:r>
              <w:rPr>
                <w:b w:val="0"/>
                <w:color w:val="24323E"/>
                <w:sz w:val="18"/>
              </w:rPr>
              <w:t>CFO verifies stranded costs, notice periods and transition expense</w:t>
            </w:r>
          </w:p>
        </w:tc>
      </w:tr>
      <w:tr>
        <w:trPr>
          <w:cantSplit/>
        </w:trPr>
        <w:tc>
          <w:tcPr>
            <w:tcW w:type="dxa" w:w="2754"/>
            <w:vAlign w:val="center"/>
            <w:shd w:fill="FFFFFF"/>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40" w:before="40" w:line="245" w:lineRule="auto"/>
            </w:pPr>
            <w:r>
              <w:rPr>
                <w:b w:val="0"/>
                <w:color w:val="24323E"/>
                <w:sz w:val="18"/>
              </w:rPr>
              <w:t>A06</w:t>
            </w:r>
          </w:p>
        </w:tc>
        <w:tc>
          <w:tcPr>
            <w:tcW w:type="dxa" w:w="2754"/>
            <w:vAlign w:val="center"/>
            <w:shd w:fill="FFFFFF"/>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40" w:before="40" w:line="245" w:lineRule="auto"/>
            </w:pPr>
            <w:r>
              <w:rPr>
                <w:b w:val="0"/>
                <w:color w:val="24323E"/>
                <w:sz w:val="18"/>
              </w:rPr>
              <w:t>Capital/expense split and recurring costs are valid</w:t>
            </w:r>
          </w:p>
        </w:tc>
        <w:tc>
          <w:tcPr>
            <w:tcW w:type="dxa" w:w="4327"/>
            <w:vAlign w:val="center"/>
            <w:shd w:fill="FFFFFF"/>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40" w:before="40" w:line="245" w:lineRule="auto"/>
            </w:pPr>
            <w:r>
              <w:rPr>
                <w:b w:val="0"/>
                <w:color w:val="24323E"/>
                <w:sz w:val="18"/>
              </w:rPr>
              <w:t>CFO and CIO validate accounting treatment and supplier terms</w:t>
            </w:r>
          </w:p>
        </w:tc>
      </w:tr>
      <w:tr>
        <w:trPr>
          <w:cantSplit/>
        </w:trPr>
        <w:tc>
          <w:tcPr>
            <w:tcW w:type="dxa" w:w="2754"/>
            <w:vAlign w:val="center"/>
            <w:shd w:fill="F3F1EC"/>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40" w:before="40" w:line="245" w:lineRule="auto"/>
            </w:pPr>
            <w:r>
              <w:rPr>
                <w:b w:val="0"/>
                <w:color w:val="24323E"/>
                <w:sz w:val="18"/>
              </w:rPr>
              <w:t>A07</w:t>
            </w:r>
          </w:p>
        </w:tc>
        <w:tc>
          <w:tcPr>
            <w:tcW w:type="dxa" w:w="2754"/>
            <w:vAlign w:val="center"/>
            <w:shd w:fill="F3F1EC"/>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40" w:before="40" w:line="245" w:lineRule="auto"/>
            </w:pPr>
            <w:r>
              <w:rPr>
                <w:b w:val="0"/>
                <w:color w:val="24323E"/>
                <w:sz w:val="18"/>
              </w:rPr>
              <w:t>Ten percent illustrative effective tax convention</w:t>
            </w:r>
          </w:p>
        </w:tc>
        <w:tc>
          <w:tcPr>
            <w:tcW w:type="dxa" w:w="4327"/>
            <w:vAlign w:val="center"/>
            <w:shd w:fill="F3F1EC"/>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40" w:before="40" w:line="245" w:lineRule="auto"/>
            </w:pPr>
            <w:r>
              <w:rPr>
                <w:b w:val="0"/>
                <w:color w:val="24323E"/>
                <w:sz w:val="18"/>
              </w:rPr>
              <w:t>Replace only with an explicitly approved model assumption</w:t>
            </w:r>
          </w:p>
        </w:tc>
      </w:tr>
      <w:tr>
        <w:trPr>
          <w:cantSplit/>
        </w:trPr>
        <w:tc>
          <w:tcPr>
            <w:tcW w:type="dxa" w:w="2754"/>
            <w:vAlign w:val="center"/>
            <w:shd w:fill="FFFFFF"/>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40" w:before="40" w:line="245" w:lineRule="auto"/>
            </w:pPr>
            <w:r>
              <w:rPr>
                <w:b w:val="0"/>
                <w:color w:val="24323E"/>
                <w:sz w:val="18"/>
              </w:rPr>
              <w:t>A08</w:t>
            </w:r>
          </w:p>
        </w:tc>
        <w:tc>
          <w:tcPr>
            <w:tcW w:type="dxa" w:w="2754"/>
            <w:vAlign w:val="center"/>
            <w:shd w:fill="FFFFFF"/>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40" w:before="40" w:line="245" w:lineRule="auto"/>
            </w:pPr>
            <w:r>
              <w:rPr>
                <w:b w:val="0"/>
                <w:color w:val="24323E"/>
                <w:sz w:val="18"/>
              </w:rPr>
              <w:t>Full contingency is spent in the base model</w:t>
            </w:r>
          </w:p>
        </w:tc>
        <w:tc>
          <w:tcPr>
            <w:tcW w:type="dxa" w:w="4327"/>
            <w:vAlign w:val="center"/>
            <w:shd w:fill="FFFFFF"/>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40" w:before="40" w:line="245" w:lineRule="auto"/>
            </w:pPr>
            <w:r>
              <w:rPr>
                <w:b w:val="0"/>
                <w:color w:val="24323E"/>
                <w:sz w:val="18"/>
              </w:rPr>
              <w:t>Board controls release; no speculative underspend benefit</w:t>
            </w:r>
          </w:p>
        </w:tc>
      </w:tr>
      <w:tr>
        <w:trPr>
          <w:cantSplit/>
        </w:trPr>
        <w:tc>
          <w:tcPr>
            <w:tcW w:type="dxa" w:w="2754"/>
            <w:vAlign w:val="center"/>
            <w:shd w:fill="F3F1EC"/>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40" w:before="40" w:line="245" w:lineRule="auto"/>
            </w:pPr>
            <w:r>
              <w:rPr>
                <w:b w:val="0"/>
                <w:color w:val="24323E"/>
                <w:sz w:val="18"/>
              </w:rPr>
              <w:t>G01</w:t>
            </w:r>
          </w:p>
        </w:tc>
        <w:tc>
          <w:tcPr>
            <w:tcW w:type="dxa" w:w="2754"/>
            <w:vAlign w:val="center"/>
            <w:shd w:fill="F3F1EC"/>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40" w:before="40" w:line="245" w:lineRule="auto"/>
            </w:pPr>
            <w:r>
              <w:rPr>
                <w:b w:val="0"/>
                <w:color w:val="24323E"/>
                <w:sz w:val="18"/>
              </w:rPr>
              <w:t>Monthly ordinary cash flow and debt-amortisation schedule missing</w:t>
            </w:r>
          </w:p>
        </w:tc>
        <w:tc>
          <w:tcPr>
            <w:tcW w:type="dxa" w:w="4327"/>
            <w:vAlign w:val="center"/>
            <w:shd w:fill="F3F1EC"/>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40" w:before="40" w:line="245" w:lineRule="auto"/>
            </w:pPr>
            <w:r>
              <w:rPr>
                <w:b w:val="0"/>
                <w:color w:val="24323E"/>
                <w:sz w:val="18"/>
              </w:rPr>
              <w:t>Full liquidity sufficiency cannot be concluded</w:t>
            </w:r>
          </w:p>
        </w:tc>
      </w:tr>
      <w:tr>
        <w:trPr>
          <w:cantSplit/>
        </w:trPr>
        <w:tc>
          <w:tcPr>
            <w:tcW w:type="dxa" w:w="2754"/>
            <w:vAlign w:val="center"/>
            <w:shd w:fill="FFFFFF"/>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40" w:before="40" w:line="245" w:lineRule="auto"/>
            </w:pPr>
            <w:r>
              <w:rPr>
                <w:b w:val="0"/>
                <w:color w:val="24323E"/>
                <w:sz w:val="18"/>
              </w:rPr>
              <w:t>G02</w:t>
            </w:r>
          </w:p>
        </w:tc>
        <w:tc>
          <w:tcPr>
            <w:tcW w:type="dxa" w:w="2754"/>
            <w:vAlign w:val="center"/>
            <w:shd w:fill="FFFFFF"/>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40" w:before="40" w:line="245" w:lineRule="auto"/>
            </w:pPr>
            <w:r>
              <w:rPr>
                <w:b w:val="0"/>
                <w:color w:val="24323E"/>
                <w:sz w:val="18"/>
              </w:rPr>
              <w:t>Contract-level renewal and exit dates incomplete</w:t>
            </w:r>
          </w:p>
        </w:tc>
        <w:tc>
          <w:tcPr>
            <w:tcW w:type="dxa" w:w="4327"/>
            <w:vAlign w:val="center"/>
            <w:shd w:fill="FFFFFF"/>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40" w:before="40" w:line="245" w:lineRule="auto"/>
            </w:pPr>
            <w:r>
              <w:rPr>
                <w:b w:val="0"/>
                <w:color w:val="24323E"/>
                <w:sz w:val="18"/>
              </w:rPr>
              <w:t>Exact monthly repricing and exit phasing needs validation</w:t>
            </w:r>
          </w:p>
        </w:tc>
      </w:tr>
      <w:tr>
        <w:trPr>
          <w:cantSplit/>
        </w:trPr>
        <w:tc>
          <w:tcPr>
            <w:tcW w:type="dxa" w:w="2754"/>
            <w:vAlign w:val="center"/>
            <w:shd w:fill="F3F1EC"/>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40" w:before="40" w:line="245" w:lineRule="auto"/>
            </w:pPr>
            <w:r>
              <w:rPr>
                <w:b w:val="0"/>
                <w:color w:val="24323E"/>
                <w:sz w:val="18"/>
              </w:rPr>
              <w:t>G03</w:t>
            </w:r>
          </w:p>
        </w:tc>
        <w:tc>
          <w:tcPr>
            <w:tcW w:type="dxa" w:w="2754"/>
            <w:vAlign w:val="center"/>
            <w:shd w:fill="F3F1EC"/>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40" w:before="40" w:line="245" w:lineRule="auto"/>
            </w:pPr>
            <w:r>
              <w:rPr>
                <w:b w:val="0"/>
                <w:color w:val="24323E"/>
                <w:sz w:val="18"/>
              </w:rPr>
              <w:t>Country and entity tax analysis not supplied</w:t>
            </w:r>
          </w:p>
        </w:tc>
        <w:tc>
          <w:tcPr>
            <w:tcW w:type="dxa" w:w="4327"/>
            <w:vAlign w:val="center"/>
            <w:shd w:fill="F3F1EC"/>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40" w:before="40" w:line="245" w:lineRule="auto"/>
            </w:pPr>
            <w:r>
              <w:rPr>
                <w:b w:val="0"/>
                <w:color w:val="24323E"/>
                <w:sz w:val="18"/>
              </w:rPr>
              <w:t>Do not produce a tax-compliance opinion</w:t>
            </w:r>
          </w:p>
        </w:tc>
      </w:tr>
      <w:tr>
        <w:trPr>
          <w:cantSplit/>
        </w:trPr>
        <w:tc>
          <w:tcPr>
            <w:tcW w:type="dxa" w:w="2754"/>
            <w:vAlign w:val="center"/>
            <w:shd w:fill="FFFFFF"/>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40" w:before="40" w:line="245" w:lineRule="auto"/>
            </w:pPr>
            <w:r>
              <w:rPr>
                <w:b w:val="0"/>
                <w:color w:val="24323E"/>
                <w:sz w:val="18"/>
              </w:rPr>
              <w:t>G04</w:t>
            </w:r>
          </w:p>
        </w:tc>
        <w:tc>
          <w:tcPr>
            <w:tcW w:type="dxa" w:w="2754"/>
            <w:vAlign w:val="center"/>
            <w:shd w:fill="FFFFFF"/>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40" w:before="40" w:line="245" w:lineRule="auto"/>
            </w:pPr>
            <w:r>
              <w:rPr>
                <w:b w:val="0"/>
                <w:color w:val="24323E"/>
                <w:sz w:val="18"/>
              </w:rPr>
              <w:t>Customer survey response rate missing</w:t>
            </w:r>
          </w:p>
        </w:tc>
        <w:tc>
          <w:tcPr>
            <w:tcW w:type="dxa" w:w="4327"/>
            <w:vAlign w:val="center"/>
            <w:shd w:fill="FFFFFF"/>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40" w:before="40" w:line="245" w:lineRule="auto"/>
            </w:pPr>
            <w:r>
              <w:rPr>
                <w:b w:val="0"/>
                <w:color w:val="24323E"/>
                <w:sz w:val="18"/>
              </w:rPr>
              <w:t>Do not claim population representativeness</w:t>
            </w:r>
          </w:p>
        </w:tc>
      </w:tr>
      <w:tr>
        <w:trPr>
          <w:cantSplit/>
        </w:trPr>
        <w:tc>
          <w:tcPr>
            <w:tcW w:type="dxa" w:w="2754"/>
            <w:vAlign w:val="center"/>
            <w:shd w:fill="F3F1EC"/>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40" w:before="40" w:line="245" w:lineRule="auto"/>
            </w:pPr>
            <w:r>
              <w:rPr>
                <w:b w:val="0"/>
                <w:color w:val="24323E"/>
                <w:sz w:val="18"/>
              </w:rPr>
              <w:t>G05</w:t>
            </w:r>
          </w:p>
        </w:tc>
        <w:tc>
          <w:tcPr>
            <w:tcW w:type="dxa" w:w="2754"/>
            <w:vAlign w:val="center"/>
            <w:shd w:fill="F3F1EC"/>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40" w:before="40" w:line="245" w:lineRule="auto"/>
            </w:pPr>
            <w:r>
              <w:rPr>
                <w:b w:val="0"/>
                <w:color w:val="24323E"/>
                <w:sz w:val="18"/>
              </w:rPr>
              <w:t>Approved software vendor quotes absent</w:t>
            </w:r>
          </w:p>
        </w:tc>
        <w:tc>
          <w:tcPr>
            <w:tcW w:type="dxa" w:w="4327"/>
            <w:vAlign w:val="center"/>
            <w:shd w:fill="F3F1EC"/>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40" w:before="40" w:line="245" w:lineRule="auto"/>
            </w:pPr>
            <w:r>
              <w:rPr>
                <w:b w:val="0"/>
                <w:color w:val="24323E"/>
                <w:sz w:val="18"/>
              </w:rPr>
              <w:t>Digital budget remains a planning estimate</w:t>
            </w:r>
          </w:p>
        </w:tc>
      </w:tr>
      <w:tr>
        <w:trPr>
          <w:cantSplit/>
        </w:trPr>
        <w:tc>
          <w:tcPr>
            <w:tcW w:type="dxa" w:w="2754"/>
            <w:vAlign w:val="center"/>
            <w:shd w:fill="FFFFFF"/>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40" w:before="40" w:line="245" w:lineRule="auto"/>
            </w:pPr>
            <w:r>
              <w:rPr>
                <w:b w:val="0"/>
                <w:color w:val="24323E"/>
                <w:sz w:val="18"/>
              </w:rPr>
              <w:t>G06</w:t>
            </w:r>
          </w:p>
        </w:tc>
        <w:tc>
          <w:tcPr>
            <w:tcW w:type="dxa" w:w="2754"/>
            <w:vAlign w:val="center"/>
            <w:shd w:fill="FFFFFF"/>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40" w:before="40" w:line="245" w:lineRule="auto"/>
            </w:pPr>
            <w:r>
              <w:rPr>
                <w:b w:val="0"/>
                <w:color w:val="24323E"/>
                <w:sz w:val="18"/>
              </w:rPr>
              <w:t>Detailed skill inventory and individual workforce cases absent</w:t>
            </w:r>
          </w:p>
        </w:tc>
        <w:tc>
          <w:tcPr>
            <w:tcW w:type="dxa" w:w="4327"/>
            <w:vAlign w:val="center"/>
            <w:shd w:fill="FFFFFF"/>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40" w:before="40" w:line="245" w:lineRule="auto"/>
            </w:pPr>
            <w:r>
              <w:rPr>
                <w:b w:val="0"/>
                <w:color w:val="24323E"/>
                <w:sz w:val="18"/>
              </w:rPr>
              <w:t>Do not generate named employee action decisions</w:t>
            </w:r>
          </w:p>
        </w:tc>
      </w:tr>
    </w:tbl>
    <w:p>
      <w:pPr>
        <w:spacing w:after="0" w:line="60" w:lineRule="exact"/>
      </w:pPr>
      <w:r>
        <w:rPr>
          <w:sz w:val="4"/>
        </w:rPr>
        <w:t xml:space="preserve"> </w:t>
      </w:r>
    </w:p>
    <w:p>
      <w:r>
        <w:rPr>
          <w:i/>
          <w:sz w:val="16"/>
        </w:rPr>
        <w:t>Source: SRC14: Assumptions and gaps, section 19. All case evidence is fictional.</w:t>
      </w:r>
    </w:p>
    <w:sectPr w:rsidR="00FC693F" w:rsidRPr="0006063C" w:rsidSect="00034616">
      <w:headerReference w:type="default" r:id="rId9"/>
      <w:footerReference w:type="default" r:id="rId10"/>
      <w:pgSz w:w="11909" w:h="16834"/>
      <w:pgMar w:top="1008" w:right="1037" w:bottom="1008" w:left="1037"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sz w:val="16"/>
      </w:rPr>
      <w:t xml:space="preserve">Fictional demonstration  |  ACME-BASE-20261215  |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365E63"/>
        <w:sz w:val="16"/>
      </w:rPr>
      <w:t>ACME INTEGRATED SERVICES GROUP</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widowControl/>
      <w:spacing w:after="160" w:line="269" w:lineRule="auto"/>
    </w:pPr>
    <w:rPr>
      <w:rFonts w:ascii="Arial" w:hAnsi="Arial"/>
      <w:color w:val="24323E"/>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240"/>
      <w:outlineLvl w:val="0"/>
    </w:pPr>
    <w:rPr>
      <w:rFonts w:asciiTheme="majorHAnsi" w:eastAsiaTheme="majorEastAsia" w:hAnsiTheme="majorHAnsi" w:cstheme="majorBidi" w:ascii="Arial" w:hAnsi="Arial"/>
      <w:b/>
      <w:bCs/>
      <w:color w:val="000000"/>
      <w:sz w:val="44"/>
      <w:szCs w:val="28"/>
    </w:rPr>
  </w:style>
  <w:style w:type="paragraph" w:styleId="Heading2">
    <w:name w:val="heading 2"/>
    <w:basedOn w:val="Normal"/>
    <w:next w:val="Normal"/>
    <w:link w:val="Heading2Char"/>
    <w:uiPriority w:val="9"/>
    <w:unhideWhenUsed/>
    <w:qFormat/>
    <w:rsid w:val="00FC693F"/>
    <w:pPr>
      <w:keepNext/>
      <w:keepLines/>
      <w:spacing w:before="200" w:after="120"/>
      <w:outlineLvl w:val="1"/>
    </w:pPr>
    <w:rPr>
      <w:rFonts w:asciiTheme="majorHAnsi" w:eastAsiaTheme="majorEastAsia" w:hAnsiTheme="majorHAnsi" w:cstheme="majorBidi" w:ascii="Arial" w:hAnsi="Arial"/>
      <w:b/>
      <w:bCs/>
      <w:color w:val="000000"/>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240" w:line="240" w:lineRule="auto"/>
      <w:contextualSpacing/>
    </w:pPr>
    <w:rPr>
      <w:rFonts w:asciiTheme="majorHAnsi" w:eastAsiaTheme="majorEastAsia" w:hAnsiTheme="majorHAnsi" w:cstheme="majorBidi" w:ascii="Arial" w:hAnsi="Arial"/>
      <w:b/>
      <w:color w:val="000000"/>
      <w:spacing w:val="5"/>
      <w:kern w:val="28"/>
      <w:sz w:val="6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keepNext/>
      <w:numPr>
        <w:ilvl w:val="1"/>
      </w:numPr>
      <w:spacing w:after="240"/>
    </w:pPr>
    <w:rPr>
      <w:rFonts w:asciiTheme="majorHAnsi" w:eastAsiaTheme="majorEastAsia" w:hAnsiTheme="majorHAnsi" w:cstheme="majorBidi" w:ascii="Arial" w:hAnsi="Arial"/>
      <w:b w:val="0"/>
      <w:i/>
      <w:iCs/>
      <w:color w:val="000000"/>
      <w:spacing w:val="15"/>
      <w:sz w:val="32"/>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Acme Executive Decision Paper</dc:title>
  <dc:subject>Fictional demonstration - proposed baseline</dc:subject>
  <dc:creator/>
  <cp:keywords>Acme, fictional demonstration, ACME-BASE-20261215</cp:keywords>
  <dc:description>generated by python-docx</dc:description>
  <cp:lastModifiedBy/>
  <cp:revision>1</cp:revision>
  <dcterms:created xsi:type="dcterms:W3CDTF">2013-12-23T23:15:00Z</dcterms:created>
  <dcterms:modified xsi:type="dcterms:W3CDTF">2013-12-23T23:15:00Z</dcterms:modified>
  <cp:category/>
</cp:coreProperties>
</file>