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ACME INTEGRATED SERVICES GROUP</w:t>
      </w:r>
    </w:p>
    <w:p>
      <w:pPr>
        <w:pStyle w:val="Title"/>
      </w:pPr>
      <w:r>
        <w:t>90 Day Transformation Plan</w:t>
      </w:r>
    </w:p>
    <w:p>
      <w:pPr>
        <w:pStyle w:val="Subtitle"/>
      </w:pPr>
      <w:r>
        <w:t>Service and Profitability Transformation</w:t>
      </w:r>
    </w:p>
    <w:p>
      <w:r>
        <w:t>Explore a mobilisation plan with accountable workstreams, milestones, dependencies, service measures and funding gates.</w:t>
      </w:r>
    </w:p>
    <w:p>
      <w:r>
        <w:t>Prepared for CEO and delivery leaders</w:t>
      </w:r>
    </w:p>
    <w:p>
      <w:r>
        <w:t>Case version 1.0</w:t>
        <w:br/>
        <w:t>Evidence cut-off 15 December 2026</w:t>
        <w:br/>
        <w:t>Financial amounts in AED million unless stated otherwise</w:t>
      </w:r>
    </w:p>
    <w:p>
      <w:r>
        <w:t>Fictional demonstration. Acme is a fictional organisation. All figures, people and proposed outcomes are illustrative.</w:t>
      </w:r>
    </w:p>
    <w:p>
      <w:r>
        <w:t>Baseline as at 15 December 2026. All approvals and funding releases remain proposed.</w:t>
      </w:r>
    </w:p>
    <w:p>
      <w:r>
        <w:t>The editable working register accompanies this report. Source IDs refer to embedded exhibits in the supplied Acme Transformation Master Case, not external research or independently verified client records.</w:t>
      </w:r>
    </w:p>
    <w:p>
      <w:r>
        <w:br w:type="page"/>
      </w:r>
    </w:p>
    <w:p>
      <w:pPr>
        <w:pStyle w:val="Heading1"/>
      </w:pPr>
      <w:r>
        <w:t>Contents</w:t>
      </w:r>
    </w:p>
    <w:p>
      <w:pPr>
        <w:spacing w:after="80"/>
      </w:pPr>
      <w:r>
        <w:t>01  Mobilisation mandate and outcomes</w:t>
      </w:r>
    </w:p>
    <w:p>
      <w:pPr>
        <w:spacing w:after="80"/>
      </w:pPr>
      <w:r>
        <w:t>02  Baseline and financial limits</w:t>
      </w:r>
    </w:p>
    <w:p>
      <w:pPr>
        <w:spacing w:after="80"/>
      </w:pPr>
      <w:r>
        <w:t>03  Capacity and mobilisation control</w:t>
      </w:r>
    </w:p>
    <w:p>
      <w:pPr>
        <w:spacing w:after="80"/>
      </w:pPr>
      <w:r>
        <w:t>04  Workstream 1 Commercial and portfolio management</w:t>
      </w:r>
    </w:p>
    <w:p>
      <w:pPr>
        <w:spacing w:after="80"/>
      </w:pPr>
      <w:r>
        <w:t>05  Workstream 2 Service operations and workforce productivity</w:t>
      </w:r>
    </w:p>
    <w:p>
      <w:pPr>
        <w:spacing w:after="80"/>
      </w:pPr>
      <w:r>
        <w:t>06  Workstream 3 Procurement and supplier performance</w:t>
      </w:r>
    </w:p>
    <w:p>
      <w:pPr>
        <w:spacing w:after="80"/>
      </w:pPr>
      <w:r>
        <w:t>07  Workstream 4 Property technology costs and shared services</w:t>
      </w:r>
    </w:p>
    <w:p>
      <w:pPr>
        <w:spacing w:after="80"/>
      </w:pPr>
      <w:r>
        <w:t>08  Workstream 5 Finance billing and working capital</w:t>
      </w:r>
    </w:p>
    <w:p>
      <w:pPr>
        <w:spacing w:after="80"/>
      </w:pPr>
      <w:r>
        <w:t>09  Workstream 6 Data and technology enablement</w:t>
      </w:r>
    </w:p>
    <w:p>
      <w:pPr>
        <w:spacing w:after="80"/>
      </w:pPr>
      <w:r>
        <w:t>10  Workstream 7 People capability and adoption</w:t>
      </w:r>
    </w:p>
    <w:p>
      <w:pPr>
        <w:spacing w:after="80"/>
      </w:pPr>
      <w:r>
        <w:t>11  Workstream 8 Transformation office and assurance</w:t>
      </w:r>
    </w:p>
    <w:p>
      <w:pPr>
        <w:spacing w:after="80"/>
      </w:pPr>
      <w:r>
        <w:t>12  Milestones and dependency sequence</w:t>
      </w:r>
    </w:p>
    <w:p>
      <w:pPr>
        <w:spacing w:after="80"/>
      </w:pPr>
      <w:r>
        <w:t>13  Company measures and separate pilot gates</w:t>
      </w:r>
    </w:p>
    <w:p>
      <w:pPr>
        <w:spacing w:after="80"/>
      </w:pPr>
      <w:r>
        <w:t>14  Risks and live mobilisation issues</w:t>
      </w:r>
    </w:p>
    <w:p>
      <w:pPr>
        <w:spacing w:after="80"/>
      </w:pPr>
      <w:r>
        <w:t>15  First quarter action register</w:t>
      </w:r>
    </w:p>
    <w:p>
      <w:pPr>
        <w:spacing w:after="80"/>
      </w:pPr>
      <w:r>
        <w:t>16  Completed initiative and benefit profiles</w:t>
      </w:r>
    </w:p>
    <w:p>
      <w:pPr>
        <w:spacing w:after="80"/>
      </w:pPr>
      <w:r>
        <w:t>17  Day 90 decision and recovery conditions</w:t>
      </w:r>
    </w:p>
    <w:p>
      <w:r>
        <w:t>Use the document navigation pane to move between sections. The companion workbook contains the complete editable registers.</w:t>
      </w:r>
    </w:p>
    <w:p>
      <w:r>
        <w:br w:type="page"/>
      </w:r>
    </w:p>
    <w:p>
      <w:pPr>
        <w:pStyle w:val="Heading1"/>
      </w:pPr>
      <w:r>
        <w:t>Mobilisation mandate and outcomes</w:t>
      </w:r>
    </w:p>
    <w:p>
      <w:r>
        <w:t>Mobilise Acme's proposed hybrid transformation from 1 January to 31 March 2027. The quarter's purpose is to establish credible baselines, release capacity, prove the service model in two hubs and put the next funding decision on an evidential basis. The 24-month programme targets do not become first-quarter commitments.</w:t>
      </w:r>
    </w:p>
    <w:p>
      <w:r>
        <w:t>The plan assumes the Board considers the direction, 18.00 conditional envelope and 3.50 initial release on 18 December 2026. No approval exists in this baseline snapshot. The CEO and Transformation Director must confirm authority and capacity before execution begins.</w:t>
      </w:r>
    </w:p>
    <w:p>
      <w:r>
        <w:t>Successful mobilisation requires a Finance baseline, one metric dictionary, a reconciled contract and receivables view, trained pilot teams, explicit continuity arrangements and a day-90 decision pack. Leaders should decline separate technology implementations across all eight hubs in Q1.</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Period</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Required outputs</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Accountable roles</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Gate evidence</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1 to 15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Charter; named sponsors; released capacity; portfolio and decision log; cash forecast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and Transformation Director</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Role acceptance, resource release and first funding authorisation</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16 to 30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Finance baseline; KPI dictionary; contract and receivables reconciliation; pilot design</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COO and CIO</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Baseline sign-off with open limitations; common metric definitions</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31 to 60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Two pilot launches; repricing register; supplier categories; skills map; initial customer communications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CCO, Procurement Director and CHRO</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Trained users, approved process, data quality and rollback plan</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61 to 90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evaluation; validated benefit profiles; next-wave plan; updated cash and risk review</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 and CFO</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Service gates, capacity confirmation and next-tranche decision</w:t>
            </w:r>
          </w:p>
        </w:tc>
      </w:tr>
    </w:tbl>
    <w:p>
      <w:pPr>
        <w:spacing w:after="0" w:line="60" w:lineRule="exact"/>
      </w:pPr>
      <w:r>
        <w:rPr>
          <w:sz w:val="4"/>
        </w:rPr>
        <w:t xml:space="preserve"> </w:t>
      </w:r>
    </w:p>
    <w:p>
      <w:r>
        <w:t>The workstream chapters distinguish first-quarter acceptance from later programme deliverables. All dates, targets and statuses remain proposed. The register provides editable owners, dates, evidence and status fields rather than implying completed actions.</w:t>
      </w:r>
    </w:p>
    <w:p>
      <w:r>
        <w:rPr>
          <w:i/>
          <w:sz w:val="16"/>
        </w:rPr>
        <w:t>Source: SRC08: Workstreams and portfolio, section 11; SRC09: First 90 days and roadmap, sections 12 and 13. All case evidence is fictional.</w:t>
      </w:r>
    </w:p>
    <w:p>
      <w:pPr>
        <w:pStyle w:val="Heading1"/>
        <w:pageBreakBefore/>
      </w:pPr>
      <w:r>
        <w:t>Baseline and financial limits</w:t>
      </w:r>
    </w:p>
    <w:p>
      <w:r>
        <w:t>FY2026 forecast revenue is 240.00, gross profit 62.00 and underlying EBITDA 10.00. The service baseline is 84% SLA, 71% first-time resolution and 62% paid-hours utilisation. Use these definitions throughout the mobilisation records; the local 69% utilisation measure excludes time that remains in the canonical denominator.</w:t>
      </w:r>
    </w:p>
    <w:tbl>
      <w:tblPr>
        <w:tblW w:type="auto" w:w="0"/>
        <w:jc w:val="center"/>
        <w:tblLayout w:type="fixed"/>
        <w:tblLook w:firstColumn="1" w:firstRow="1" w:lastColumn="0" w:lastRow="0" w:noHBand="0" w:noVBand="1" w:val="04A0"/>
      </w:tblPr>
      <w:tblGrid>
        <w:gridCol w:w="3099"/>
        <w:gridCol w:w="1347"/>
        <w:gridCol w:w="1347"/>
        <w:gridCol w:w="1347"/>
        <w:gridCol w:w="1347"/>
        <w:gridCol w:w="1347"/>
      </w:tblGrid>
      <w:tr>
        <w:trPr>
          <w:cantSplit/>
          <w:tblHeader/>
        </w:trPr>
        <w:tc>
          <w:tcPr>
            <w:tcW w:type="dxa" w:w="3099"/>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Period</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Gross benefit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Recurring cost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Investment cash</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WC release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Net cash with WC</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Q1</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0.90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0.15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-2.75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0.30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3.50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-0.60</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Q3</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3.70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0.45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1.25</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2027 Q4</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5.20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0.60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4.60</w:t>
            </w:r>
          </w:p>
        </w:tc>
      </w:tr>
    </w:tbl>
    <w:p>
      <w:pPr>
        <w:spacing w:after="0" w:line="60" w:lineRule="exact"/>
      </w:pPr>
      <w:r>
        <w:rPr>
          <w:sz w:val="4"/>
        </w:rPr>
        <w:t xml:space="preserve"> </w:t>
      </w:r>
    </w:p>
    <w:p>
      <w:r>
        <w:t>Q1 planned gross benefit is 0.90, recurring cost 0.15 and investment cash 3.50. Net programme cash is negative 2.75, with no planned Q1 working-capital release. The Finance review should report progress against these in-period values, keeping the 29.00 gross annual exit target separate.</w:t>
      </w:r>
    </w:p>
    <w:p>
      <w:r>
        <w:t>The 18.00 envelope includes 12.00 expense and 6.00 capital. The financial model does not include ordinary business cash flows or debt amortisation. The CFO's 13-week forecast is an operational prerequisite; the programme-only balance cannot prove that the 8.00 cash floor is protected.</w:t>
      </w:r>
    </w:p>
    <w:p>
      <w:r>
        <w:rPr>
          <w:i/>
          <w:sz w:val="16"/>
        </w:rPr>
        <w:t>Source: SRC01: Financial baseline and proposed plan, section 4; SRC03: Diagnosis and evidence extracts, section 6; SRC06: Investment and cash, section 9. All case evidence is fictional.</w:t>
      </w:r>
    </w:p>
    <w:p>
      <w:pPr>
        <w:pStyle w:val="Heading1"/>
        <w:pageBreakBefore/>
      </w:pPr>
      <w:r>
        <w:t>Capacity and mobilisation control</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Capacity</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Control</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Internal Transformation Office secondments</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Within baseline payroll; named releases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Temporary external office specialists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Within office/change allocation; individual appointments proposed.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Eight workstream leads at 0.5 FTE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Part of the 24 FTE line capacity.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Line specialists, hub and process owners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Protected delivery capacity, additional to the eight office secondments.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Total internal release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32</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 + 4 + 20. No increase to employee headcount.</w:t>
            </w:r>
          </w:p>
        </w:tc>
      </w:tr>
    </w:tbl>
    <w:p>
      <w:pPr>
        <w:spacing w:after="0" w:line="60" w:lineRule="exact"/>
      </w:pPr>
      <w:r>
        <w:rPr>
          <w:sz w:val="4"/>
        </w:rPr>
        <w:t xml:space="preserve"> </w:t>
      </w:r>
    </w:p>
    <w:p>
      <w:r>
        <w:t>The CEO resolves conflicts between business commitments and released programme time. Department heads name people or roles, allocation periods, cover arrangements and acceptance of the release. The case does not specify which two office positions are external, so sourcing remains to be agreed rather than assigned arbitrarily.</w:t>
      </w:r>
    </w:p>
    <w:p>
      <w:r>
        <w:t>The 24 FTE line commitment includes four FTE across eight half-time workstream leads plus 20 FTE of specialists, hubs and process owners. Together with the eight internal office roles, internal release totals 32 FTE. These are protected commitments within existing headcount, not 32 new employees or a quantified saving.</w:t>
      </w:r>
    </w:p>
    <w:p>
      <w:r>
        <w:t>Proposed control: the Planning and Dependency Lead reconciles commitments weekly against milestones. If resource release remains incomplete at day 15, raise R09 with the CEO and reduce or sequence work before scheduling more pilots. Essential specialists and protected delivery roles remain outside the 50-position target.</w:t>
      </w:r>
    </w:p>
    <w:p>
      <w:r>
        <w:rPr>
          <w:i/>
          <w:sz w:val="16"/>
        </w:rPr>
        <w:t>Source: SRC10: Office and governance, sections 14 and 18; SRC13: Risks and issues, section 17. All case evidence is fictional.</w:t>
      </w:r>
    </w:p>
    <w:p>
      <w:pPr>
        <w:pStyle w:val="Heading1"/>
        <w:pageBreakBefore/>
      </w:pPr>
      <w:r>
        <w:t>Workstream 1 Commercial and portfolio management</w:t>
      </w:r>
    </w:p>
    <w:p>
      <w:r>
        <w:t>In Q1, establish the contract margin register and approved negotiation guardrails. Use the 60.00 eligible pool, with exits excluded, and require Commercial and Finance agreement. The month-six opportunity pipeline belongs to the later horizon, not the day-90 acceptance test.</w:t>
      </w:r>
    </w:p>
    <w:p>
      <w:r>
        <w:t>Accountable executive: Chief Commercial Officer. The workstream makes contract economics visible, protects important relationships and stops selling work that cannot meet contribution requirements.</w:t>
      </w:r>
    </w:p>
    <w:p>
      <w:r>
        <w:t>I01 Contract economics and repricing runs in months 1 to 18 and owns B01. The team builds a contract-level margin view, identifies approved price mechanisms and negotiates renewals. Its first deliverable is a validated register covering the 60.00 eligible revenue pool by day 60. It depends on I09 billing reconciliation and I11 reference data. Commercial and Finance jointly approve each revised contribution case; customers must accept contractual changes before implementation. Success is realised price contribution against the B01 schedule, with lost customers and concessions separately reported.</w:t>
      </w:r>
    </w:p>
    <w:p>
      <w:r>
        <w:t>I02 Portfolio repair and cross-sell runs in months 2 to 24 and owns B02 and B03. The team selects eight unrepairable contracts for orderly exit, with transition costs and stranded costs assessed, and develops 30 additional service wins. A first pipeline of 40 qualified opportunities is required by month 6; it is a pipeline target, not contracted revenue. Exit decisions depend on I01 margin analysis and Legal review. New sales depend on Operations confirming capacity and service capability. Revenue retention alone does not establish success.</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2 Service operations and workforce productivity</w:t>
      </w:r>
    </w:p>
    <w:p>
      <w:r>
        <w:t>In Q1, agree the two-hub process by day 30, launch by day 60 and evaluate at day 90. Begin the I04 design only after the dependencies are clear. A productivity improvement does not itself authorise a funded-position release.</w:t>
      </w:r>
    </w:p>
    <w:p>
      <w:r>
        <w:t>Accountable executive: Chief Operating Officer. The workstream redesigns work before reducing funded capacity.</w:t>
      </w:r>
    </w:p>
    <w:p>
      <w:r>
        <w:t>I03 Service standards and dispatch runs in months 1 to 15 and owns B06. Two hubs pilot a common triage process, skills-based scheduling and standard closure evidence. The pilot design is due on day 30, launch by day 60 and evaluation by day 90. I11 must provide common job definitions before comparison. The gate requires at least 90% SLA attainment and 78% first-time resolution in the pilot for four consecutive weeks, with no material deterioration in safety or complaints. These are pilot gates, distinct from company-wide day-90 targets.</w:t>
      </w:r>
    </w:p>
    <w:p>
      <w:r>
        <w:t>I04 Workforce and capacity redesign runs in months 3 to 24 and owns B04. It translates verified scheduling gains into rosters, role design and a funded-position plan. It depends on I03 pilot evidence, I13 skills mapping and HR review. Fifty positions are removed gradually through agreed mechanisms; twenty further roles are redeployed. Each release needs evidence that contractual coverage remains adequate. Finance recognises benefits only after the underlying funded cost is removed, not when a productivity percentage improves.</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3 Procurement and supplier performance</w:t>
      </w:r>
    </w:p>
    <w:p>
      <w:r>
        <w:t>In Q1, reconcile supplier/category codes and agree specifications and resilience criteria. Prepare the first sourcing wave. The 15.00 spend wave is a month-six milestone and cannot be presented as a completed first-quarter saving.</w:t>
      </w:r>
    </w:p>
    <w:p>
      <w:r>
        <w:t>Accountable executive: Procurement Director, sponsored by the CFO.</w:t>
      </w:r>
    </w:p>
    <w:p>
      <w:r>
        <w:t>I05 Category sourcing runs in months 2 to 18 and owns B05. The team validates the 45.00 addressable spend pool, consolidates specifications and renegotiates categories in waves. A first sourcing wave covers 15.00 of annual spend by month 6. It depends on I11 vendor coding and Operations' specification approval. Signed prices are reconciled to received quantities, rebates and actual invoice costs. Savings that arise solely because work was cancelled belong to the associated operating initiative, not procurement.</w:t>
      </w:r>
    </w:p>
    <w:p>
      <w:r>
        <w:t>I06 Supplier service assurance runs in months 3 to 18 and enables B05 without a second benefit claim. Critical suppliers receive performance scorecards, escalation contacts, continuity arrangements and substitution rules. No critical category may move to a sole supplier before a resilience assessment. Success is at least 95% on-time supply for pilot categories and no stock-out-related deterioration in service. The risk is replacing fragmented buying with excessive concentration.</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4 Property technology costs and shared services</w:t>
      </w:r>
    </w:p>
    <w:p>
      <w:r>
        <w:t>In Q1, inventory leases and licences, identify notice windows and establish delegated spend control. Keep operational applications running until replacement and support are proven. Category funding is not initiative-level approval.</w:t>
      </w:r>
    </w:p>
    <w:p>
      <w:r>
        <w:t>Accountable executives: CIO for I07 and CFO for I08.</w:t>
      </w:r>
    </w:p>
    <w:p>
      <w:r>
        <w:t>I07 Property and licence rationalisation runs in months 2 to 20 and owns B07. The team reviews corporate leases, support locations, duplicate software and unused licences. It depends on the I12 migration plan before shutting down any operational application. Each saving requires a cancellation, reduced invoice or a legally effective property arrangement. The 16.00 addressable pool excludes operational fleet and frontline hub assumptions. Contract notice periods may defer the benefit even after a technical migration is complete.</w:t>
      </w:r>
    </w:p>
    <w:p>
      <w:r>
        <w:t>I08 Shared-service and overhead controls runs in months 1 to 15 and owns B08. It establishes demand approval, preferred professional-service suppliers, marketing-spend gates and shared administrative workflows. It depends on I16 delegated authority and Finance category coding. The outcome is a reduction in the 11.50 addressable non-payroll overhead pool. It must preserve sales capacity and control quality; lower expense caused by overdue supplier payments is not a saving.</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5 Finance billing and working capital</w:t>
      </w:r>
    </w:p>
    <w:p>
      <w:r>
        <w:t>In Q1, reconcile opening receivables, separate disputes and unbilled items, and start the weekly collections and 13-week cash routines. Define inventory controls while retaining critical service cover. Report released cash separately from profit.</w:t>
      </w:r>
    </w:p>
    <w:p>
      <w:r>
        <w:t>Accountable executive: Chief Financial Officer.</w:t>
      </w:r>
    </w:p>
    <w:p>
      <w:r>
        <w:t>I09 Billing and collections runs in months 1 to 18 and owns the 9.60 receivables release. It reconciles contract terms, completed work, billing events and disputes; assigns account-level collection owners; and establishes a weekly aged-debt review. It depends on I11 customer IDs and Commercial support. The day-30 deliverable is a reconciled opening receivables ledger. The exit balance target is 50.90. No acceleration is assumed through unapproved customer terms, excessive discounting or misstatement of completed work.</w:t>
      </w:r>
    </w:p>
    <w:p>
      <w:r>
        <w:t>I10 Inventory and cash discipline runs in months 2 to 18 and owns the 2.40 inventory release. It defines stocking policies, redeploys slow-moving usable stock and links reorder levels to service criticality. It depends on I06 supplier assurance and I11 materials coding. The exit inventory target is 7.60. Write-offs are separately recorded and do not count as cash release. A rolling 13-week liquidity forecast is a required control, not an additional quantified benefit.</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6 Data and technology enablement</w:t>
      </w:r>
    </w:p>
    <w:p>
      <w:r>
        <w:t>In Q1, reconcile the dictionary by day 30 and make controlled workflow pilots available by day 60. Require security review, at least 98% mapping and zero critical data-control defects. Preserve a tested manual continuity route.</w:t>
      </w:r>
    </w:p>
    <w:p>
      <w:r>
        <w:t>Accountable executive: Chief Information Officer.</w:t>
      </w:r>
    </w:p>
    <w:p>
      <w:r>
        <w:t>I11 Reference data and reporting runs in months 1 to 12. It establishes one customer, contract, job, supplier and service taxonomy, assigns data owners and reconciles KPI definitions. Its first controlled metric dictionary and source reconciliation are due by day 30. It enables all benefit initiatives and carries no separate savings entry. Quality gates require at least 98% mapping completeness for pilot records and zero unresolved critical data-control defects at launch.</w:t>
      </w:r>
    </w:p>
    <w:p>
      <w:r>
        <w:t>I12 Workflow and integration runs in months 2 to 20. It connects the existing ERP, CRM and service platforms through controlled interfaces and introduces a common queue and dashboard. Acme retains its existing ERP. The first workflow pilot is due by day 60, subject to I11 and security review. AI-assisted routing is optional and may proceed only after validation and human override are available. New platform costs are in recurring enablement; a technology business case cannot count the operational benefits again.</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7 People capability and adoption</w:t>
      </w:r>
    </w:p>
    <w:p>
      <w:r>
        <w:t>In Q1, agree protected champion time, map skills for the pilot hubs and verify supervisor competency before go-live. Record consultation needs and current decision status. The case supplies no individual employee decisions.</w:t>
      </w:r>
    </w:p>
    <w:p>
      <w:r>
        <w:t>Accountable executive: Chief Human Resources Officer.</w:t>
      </w:r>
    </w:p>
    <w:p>
      <w:r>
        <w:t>I13 Skills and workforce transition runs in months 1 to 24. It maps specialist skills, prepares redeployment pathways and trains supervisors on the new operating standards. It provides the workforce prerequisites for I04. Day-60 output is a role and skills map for both pilot hubs and a consultation and transition plan. Success includes competency verification rather than attendance alone. Employment-law details are outside the case; real implementation would require jurisdiction-specific advice.</w:t>
      </w:r>
    </w:p>
    <w:p>
      <w:r>
        <w:t>I14 Adoption and communication runs in months 1 to 24. It establishes manager briefings, customer change notices, floor support, feedback channels and a network of hub champions. It depends on clear I15 governance and agreed I03 process changes. Training content precedes go-live, and communications must not present proposed staffing changes as final decisions. Digital workflow adoption reaches 90% at exit, measured on eligible transactions with exclusions disclosed.</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Workstream 8 Transformation office and assurance</w:t>
      </w:r>
    </w:p>
    <w:p>
      <w:r>
        <w:t>In Q1, obtain capacity commitments by day 15 and a Finance-challengeable baseline by day 30. Run one portfolio and decision log. The office measures unresolved exceptions and delivered outcomes, not report volume.</w:t>
      </w:r>
    </w:p>
    <w:p>
      <w:r>
        <w:t>Accountable executive: Transformation Director, reporting to the CEO.</w:t>
      </w:r>
    </w:p>
    <w:p>
      <w:r>
        <w:t>I15 Office mobilisation and portfolio control runs in months 1 to 24. It sets up the office, staffing, integrated roadmap, dependency map, RAID register and executive reporting. RAID means risks, assumptions, issues and dependencies. Named owners and capacity commitments are due by day 15. A charter without released delivery capacity does not pass mobilisation.</w:t>
      </w:r>
    </w:p>
    <w:p>
      <w:r>
        <w:t>I16 Benefits assurance and decision controls runs in months 1 to 24. It sets the baseline, benefit profiles, funding gates, decision log and change-control route with the CFO. The baseline and initial forecast are ready for Finance challenge by day 30. It carries no separate financial benefit. Success is complete ownership, timely decisions and ledger-supported benefits, not the number of reports produced.</w:t>
      </w:r>
    </w:p>
    <w:p>
      <w:pPr>
        <w:pStyle w:val="Heading2"/>
      </w:pPr>
      <w:r>
        <w:t>Quarter one acceptance</w:t>
      </w:r>
    </w:p>
    <w:p>
      <w:r>
        <w:t>The workstream lead records deliverable, responsible role, dependency, due date and acceptance evidence. Funding and customer or employee decisions follow delegated authority. Report any missing baseline or capacity as an open issue; never mark a target achieved because an initiative has started.</w:t>
      </w:r>
    </w:p>
    <w:p>
      <w:r>
        <w:rPr>
          <w:i/>
          <w:sz w:val="16"/>
        </w:rPr>
        <w:t>Source: SRC08: Workstreams and portfolio, section 11. All case evidence is fictional.</w:t>
      </w:r>
    </w:p>
    <w:p>
      <w:pPr>
        <w:pStyle w:val="Heading1"/>
        <w:pageBreakBefore/>
      </w:pPr>
      <w:r>
        <w:t>Milestones and dependency sequence</w:t>
      </w:r>
    </w:p>
    <w:tbl>
      <w:tblPr>
        <w:tblW w:type="auto" w:w="0"/>
        <w:jc w:val="center"/>
        <w:tblLayout w:type="fixed"/>
        <w:tblLook w:firstColumn="1" w:firstRow="1" w:lastColumn="0" w:lastRow="0" w:noHBand="0" w:noVBand="1" w:val="04A0"/>
      </w:tblPr>
      <w:tblGrid>
        <w:gridCol w:w="2164"/>
        <w:gridCol w:w="1475"/>
        <w:gridCol w:w="3246"/>
        <w:gridCol w:w="2951"/>
      </w:tblGrid>
      <w:tr>
        <w:trPr>
          <w:cantSplit/>
          <w:tblHeader/>
        </w:trPr>
        <w:tc>
          <w:tcPr>
            <w:tcW w:type="dxa" w:w="216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Phase</w:t>
            </w:r>
          </w:p>
        </w:tc>
        <w:tc>
          <w:tcPr>
            <w:tcW w:type="dxa" w:w="147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Timing</w:t>
            </w:r>
          </w:p>
        </w:tc>
        <w:tc>
          <w:tcPr>
            <w:tcW w:type="dxa" w:w="324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Scope</w:t>
            </w:r>
          </w:p>
        </w:tc>
        <w:tc>
          <w:tcPr>
            <w:tcW w:type="dxa" w:w="295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Decision gate</w:t>
            </w:r>
          </w:p>
        </w:tc>
      </w:tr>
      <w:tr>
        <w:trPr>
          <w:cantSplit/>
        </w:trPr>
        <w:tc>
          <w:tcPr>
            <w:tcW w:type="dxa" w:w="216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Mobilise and validate</w:t>
            </w:r>
          </w:p>
        </w:tc>
        <w:tc>
          <w:tcPr>
            <w:tcW w:type="dxa" w:w="147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Q1 2027</w:t>
            </w:r>
          </w:p>
        </w:tc>
        <w:tc>
          <w:tcPr>
            <w:tcW w:type="dxa" w:w="324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Baselines, controls, two pilots, contract and cash diagnostics</w:t>
            </w:r>
          </w:p>
        </w:tc>
        <w:tc>
          <w:tcPr>
            <w:tcW w:type="dxa" w:w="295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 90 service and funding decision</w:t>
            </w:r>
          </w:p>
        </w:tc>
      </w:tr>
      <w:tr>
        <w:trPr>
          <w:cantSplit/>
        </w:trPr>
        <w:tc>
          <w:tcPr>
            <w:tcW w:type="dxa" w:w="216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Expand proven changes</w:t>
            </w:r>
          </w:p>
        </w:tc>
        <w:tc>
          <w:tcPr>
            <w:tcW w:type="dxa" w:w="147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Q2 to Q3 2027</w:t>
            </w:r>
          </w:p>
        </w:tc>
        <w:tc>
          <w:tcPr>
            <w:tcW w:type="dxa" w:w="324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Repricing waves, category sourcing, workflow rollout to four more hubs</w:t>
            </w:r>
          </w:p>
        </w:tc>
        <w:tc>
          <w:tcPr>
            <w:tcW w:type="dxa" w:w="295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Quarterly benefit and capacity review</w:t>
            </w:r>
          </w:p>
        </w:tc>
      </w:tr>
      <w:tr>
        <w:trPr>
          <w:cantSplit/>
        </w:trPr>
        <w:tc>
          <w:tcPr>
            <w:tcW w:type="dxa" w:w="216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Complete first deployment</w:t>
            </w:r>
          </w:p>
        </w:tc>
        <w:tc>
          <w:tcPr>
            <w:tcW w:type="dxa" w:w="147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Q4 2027</w:t>
            </w:r>
          </w:p>
        </w:tc>
        <w:tc>
          <w:tcPr>
            <w:tcW w:type="dxa" w:w="324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Eight hubs on core standards; selected overhead exits; renewal execution</w:t>
            </w:r>
          </w:p>
        </w:tc>
        <w:tc>
          <w:tcPr>
            <w:tcW w:type="dxa" w:w="295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Year-one investment and service review</w:t>
            </w:r>
          </w:p>
        </w:tc>
      </w:tr>
      <w:tr>
        <w:trPr>
          <w:cantSplit/>
        </w:trPr>
        <w:tc>
          <w:tcPr>
            <w:tcW w:type="dxa" w:w="216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Optimise and consolidate</w:t>
            </w:r>
          </w:p>
        </w:tc>
        <w:tc>
          <w:tcPr>
            <w:tcW w:type="dxa" w:w="147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Q1 to Q3 2028</w:t>
            </w:r>
          </w:p>
        </w:tc>
        <w:tc>
          <w:tcPr>
            <w:tcW w:type="dxa" w:w="324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Further contract repair, productivity and property savings</w:t>
            </w:r>
          </w:p>
        </w:tc>
        <w:tc>
          <w:tcPr>
            <w:tcW w:type="dxa" w:w="295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 sustainability and control review</w:t>
            </w:r>
          </w:p>
        </w:tc>
      </w:tr>
      <w:tr>
        <w:trPr>
          <w:cantSplit/>
        </w:trPr>
        <w:tc>
          <w:tcPr>
            <w:tcW w:type="dxa" w:w="216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Transfer to business ownership</w:t>
            </w:r>
          </w:p>
        </w:tc>
        <w:tc>
          <w:tcPr>
            <w:tcW w:type="dxa" w:w="147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Q4 2028</w:t>
            </w:r>
          </w:p>
        </w:tc>
        <w:tc>
          <w:tcPr>
            <w:tcW w:type="dxa" w:w="324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Resolve residual risks, complete handovers, verify exit run rate</w:t>
            </w:r>
          </w:p>
        </w:tc>
        <w:tc>
          <w:tcPr>
            <w:tcW w:type="dxa" w:w="295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closure and residual-benefit decision</w:t>
            </w:r>
          </w:p>
        </w:tc>
      </w:tr>
    </w:tbl>
    <w:p>
      <w:pPr>
        <w:spacing w:after="0" w:line="60" w:lineRule="exact"/>
      </w:pPr>
      <w:r>
        <w:rPr>
          <w:sz w:val="4"/>
        </w:rPr>
        <w:t xml:space="preserve"> </w:t>
      </w:r>
    </w:p>
    <w:p>
      <w:r>
        <w:t>The critical sequence is common data, pilot design, validated workflow, four weeks of service evidence, approved workforce changes and phased paid-cost removal. I04 therefore depends on evidence from I03 and skills from I13. Legacy platform exits depend on I12 migration and support. Contract and supplier work depend on reliable identifiers and agreed specifications.</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prerequisite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Successor</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 and acceptance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DEP01 I11 job and customer dictionary</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I03 pilot reporting and I12 workflow; 30 Jan 2027</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At least 98% mapping, agreed denominators; restrict pilots to reconciled records if needed.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DEP02 I03 compliant service evidence</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I04 funded-position release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Four weeks at 90% SLA and 78% first-time resolution in each pilot, with safeguards.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DEP03 I13 skills and transition plan</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I04 workforce redesign</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CHRO. Skills coverage, consultation plan and role-level service review.</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DEP04 I12 migration and support readiness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I07 legacy application exit</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Tested continuity, support and rollback before shutdown.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DEP05 I09 billing reconciliation and I11 IDs</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I01 contract economics and repricing</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and CCO. Reconciled cost, billing and customer records.</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DEP06 I06 supplier continuity and I11 codes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I10 inventory release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Procurement Director. Substitution and critical stock cover established.</w:t>
            </w:r>
          </w:p>
        </w:tc>
      </w:tr>
    </w:tbl>
    <w:p>
      <w:pPr>
        <w:spacing w:after="0" w:line="60" w:lineRule="exact"/>
      </w:pPr>
      <w:r>
        <w:rPr>
          <w:sz w:val="4"/>
        </w:rPr>
        <w:t xml:space="preserve"> </w:t>
      </w:r>
    </w:p>
    <w:p>
      <w:r>
        <w:t>A dependency is an enabling output, not necessarily the end of the predecessor initiative. Proposed weekly control: record the needed-by date and acceptance owner, escalate at the first forecast miss, and refer critical slips greater than ten working days to Steering within five working days.</w:t>
      </w:r>
    </w:p>
    <w:p>
      <w:r>
        <w:rPr>
          <w:i/>
          <w:sz w:val="16"/>
        </w:rPr>
        <w:t>Source: SRC08: Workstreams and portfolio, section 11; SRC09: First 90 days and roadmap, sections 12 and 13. All case evidence is fictional.</w:t>
      </w:r>
    </w:p>
    <w:p>
      <w:pPr>
        <w:pStyle w:val="Heading1"/>
        <w:pageBreakBefore/>
      </w:pPr>
      <w:r>
        <w:t>Company measures and separate pilot gates</w:t>
      </w:r>
    </w:p>
    <w:tbl>
      <w:tblPr>
        <w:tblW w:type="auto" w:w="0"/>
        <w:jc w:val="center"/>
        <w:tblLayout w:type="fixed"/>
        <w:tblLook w:firstColumn="1" w:firstRow="1" w:lastColumn="0" w:lastRow="0" w:noHBand="0" w:noVBand="1" w:val="04A0"/>
      </w:tblPr>
      <w:tblGrid>
        <w:gridCol w:w="3099"/>
        <w:gridCol w:w="1347"/>
        <w:gridCol w:w="1347"/>
        <w:gridCol w:w="1347"/>
        <w:gridCol w:w="1347"/>
        <w:gridCol w:w="1347"/>
      </w:tblGrid>
      <w:tr>
        <w:trPr>
          <w:cantSplit/>
          <w:tblHeader/>
        </w:trPr>
        <w:tc>
          <w:tcPr>
            <w:tcW w:type="dxa" w:w="3099"/>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Measure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Baseline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Day 90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End 2027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Exit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Underlying EBITDA</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10.00 FY26</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Quarterly benefits separately</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20.50 in year</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36.00 annual run rate</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SLA attainment</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84%</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First-time resolution</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71%</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86%</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satisfaction</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77%</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Productive utilisation</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62%</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69%</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74%</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DSO</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92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88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82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74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Regretted voluntary turnover</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17%</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14%</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CHRO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Eligible workflow adoption</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Management close</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First-pass invoice accuracy</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89%</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93%</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96%</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bl>
    <w:p>
      <w:pPr>
        <w:spacing w:after="0" w:line="60" w:lineRule="exact"/>
      </w:pPr>
      <w:r>
        <w:rPr>
          <w:sz w:val="4"/>
        </w:rPr>
        <w:t xml:space="preserve"> </w:t>
      </w:r>
    </w:p>
    <w:p>
      <w:r>
        <w:t>The full company scorecard includes invoice accuracy at 93% by day 90 as well as the eight operating measures. Use the correct time-specific denominator. SLA excludes only approved reason-coded items; first-time resolution uses a separate seven-day repeat population. The customer survey response rate is unknown.</w:t>
      </w:r>
    </w:p>
    <w:p>
      <w:r>
        <w:t>Each pilot must separately sustain at least 90% SLA and 78% first-time resolution for four consecutive weeks, with no material safety or complaint deterioration. Do not average hubs to pass the gate. Company-wide targets are 88% and 75%, so meeting them does not establish pilot readiness for expansion.</w:t>
      </w:r>
    </w:p>
    <w:p>
      <w:r>
        <w:t>Higher-is-better measures are red more than five percentage points below target, amber up to five below, and green at or above. DSO is red more than five days above target. Financial benefits are red more than 10% below plan. A critical control or safety breach overrides a green composite.</w:t>
      </w:r>
    </w:p>
    <w:p>
      <w:r>
        <w:rPr>
          <w:i/>
          <w:sz w:val="16"/>
        </w:rPr>
        <w:t>Source: SRC11: Performance measures, section 15; SRC08: Workstreams and portfolio, section 11. All case evidence is fictional.</w:t>
      </w:r>
    </w:p>
    <w:p>
      <w:pPr>
        <w:pStyle w:val="Heading1"/>
        <w:pageBreakBefore/>
      </w:pPr>
      <w:r>
        <w:t>Risks and live mobilisation issues</w:t>
      </w:r>
    </w:p>
    <w:tbl>
      <w:tblPr>
        <w:tblW w:type="auto" w:w="0"/>
        <w:jc w:val="center"/>
        <w:tblLayout w:type="fixed"/>
        <w:tblLook w:firstColumn="1" w:firstRow="1" w:lastColumn="0" w:lastRow="0" w:noHBand="0" w:noVBand="1" w:val="04A0"/>
      </w:tblPr>
      <w:tblGrid>
        <w:gridCol w:w="984"/>
        <w:gridCol w:w="2754"/>
        <w:gridCol w:w="2754"/>
        <w:gridCol w:w="3344"/>
      </w:tblGrid>
      <w:tr>
        <w:trPr>
          <w:cantSplit/>
          <w:tblHeader/>
        </w:trPr>
        <w:tc>
          <w:tcPr>
            <w:tcW w:type="dxa" w:w="98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Risk and score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Trigger</w:t>
            </w:r>
          </w:p>
        </w:tc>
        <w:tc>
          <w:tcPr>
            <w:tcW w:type="dxa" w:w="334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 and response</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Service disruption, 4 x 5 = 20</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SLA falls below baseline or a critical commitment is missed</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stop rollout, restore coverage and activate rollback</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overlap or fail validation, 4 x 4 = 16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Unsupported ledger entries or realised benefit more than 10% below plan</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reject duplicate claims and require a recovery forecast</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Cash falls below policy floor, 3 x 5 = 15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Any week in the 13-week forecast is below 8.00</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freeze discretionary commitments and escalate funding decision</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loss after repricing, 3 x 5 = 15</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Material renewal declines or top-ten customer threatens exit</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 account intervention and revise effective price benefit</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Workforce capacity removed too early, 3 x 5 = 15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Overtime, backlog or complaints rise after roster changes</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CHRO: pause position release and restore capacity</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Data defects undermine reporting, 4 x 4 = 16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mapping below 98% or material baseline disagreement</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correct source data and suspend affected decisions</w:t>
            </w:r>
          </w:p>
        </w:tc>
      </w:tr>
    </w:tbl>
    <w:p>
      <w:pPr>
        <w:spacing w:after="0" w:line="60" w:lineRule="exact"/>
      </w:pPr>
      <w:r>
        <w:rPr>
          <w:sz w:val="4"/>
        </w:rPr>
        <w:t xml:space="preserve"> </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current issue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 and due date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Acceptance evidence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ISS01 Utilisation definition conflict</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day 15</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Use 62% of all relevant paid roster hours; explain why the local 69% is incomparable.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ISS02 Customer and job IDs unreconciled</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day 30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Common dictionary, at least 98% pilot mapping, no critical defects.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ISS03 Contract cost allocation incomplete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day 45</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Reconciled contract cost view with stranded costs separated.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ISS04 Internal capacity release unconfirmed</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day 15</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Named release of 32 internal FTE, with business coverage agreed.</w:t>
            </w:r>
          </w:p>
        </w:tc>
      </w:tr>
    </w:tbl>
    <w:p>
      <w:pPr>
        <w:spacing w:after="0" w:line="60" w:lineRule="exact"/>
      </w:pPr>
      <w:r>
        <w:rPr>
          <w:sz w:val="4"/>
        </w:rPr>
        <w:t xml:space="preserve"> </w:t>
      </w:r>
    </w:p>
    <w:p>
      <w:r>
        <w:t>The companion register retains all twelve initial risks and their inherent ratings. Residual ratings stay unassessed until controls are tested. A current defect belongs in the issue log as well as any linked future risk. Owners close issues only when the recorded acceptance evidence exists.</w:t>
      </w:r>
    </w:p>
    <w:p>
      <w:r>
        <w:rPr>
          <w:i/>
          <w:sz w:val="16"/>
        </w:rPr>
        <w:t>Source: SRC13: Risks and issues, section 17. All case evidence is fictional.</w:t>
      </w:r>
    </w:p>
    <w:p>
      <w:pPr>
        <w:pStyle w:val="Heading1"/>
        <w:pageBreakBefore/>
      </w:pPr>
      <w:r>
        <w:t>First quarter action register</w:t>
      </w:r>
    </w:p>
    <w:tbl>
      <w:tblPr>
        <w:tblW w:type="auto" w:w="0"/>
        <w:jc w:val="center"/>
        <w:tblLayout w:type="fixed"/>
        <w:tblLook w:firstColumn="1" w:firstRow="1" w:lastColumn="0" w:lastRow="0" w:noHBand="0" w:noVBand="1" w:val="04A0"/>
      </w:tblPr>
      <w:tblGrid>
        <w:gridCol w:w="2459"/>
        <w:gridCol w:w="1885"/>
        <w:gridCol w:w="1311"/>
        <w:gridCol w:w="3033"/>
        <w:gridCol w:w="1147"/>
      </w:tblGrid>
      <w:tr>
        <w:trPr>
          <w:cantSplit/>
          <w:tblHeader/>
        </w:trPr>
        <w:tc>
          <w:tcPr>
            <w:tcW w:type="dxa" w:w="2459"/>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color w:val="FFFFFF"/>
                <w:sz w:val="18"/>
              </w:rPr>
              <w:t>ID and action</w:t>
            </w:r>
          </w:p>
        </w:tc>
        <w:tc>
          <w:tcPr>
            <w:tcW w:type="dxa" w:w="1885"/>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color w:val="FFFFFF"/>
                <w:sz w:val="18"/>
              </w:rPr>
              <w:t>Accountable / responsible</w:t>
            </w:r>
          </w:p>
        </w:tc>
        <w:tc>
          <w:tcPr>
            <w:tcW w:type="dxa" w:w="131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color w:val="FFFFFF"/>
                <w:sz w:val="18"/>
              </w:rPr>
              <w:t>Due</w:t>
            </w:r>
          </w:p>
        </w:tc>
        <w:tc>
          <w:tcPr>
            <w:tcW w:type="dxa" w:w="303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color w:val="FFFFFF"/>
                <w:sz w:val="18"/>
              </w:rPr>
              <w:t>Acceptance evidence</w:t>
            </w:r>
          </w:p>
        </w:tc>
        <w:tc>
          <w:tcPr>
            <w:tcW w:type="dxa" w:w="11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color w:val="FFFFFF"/>
                <w:sz w:val="18"/>
              </w:rPr>
              <w:t>Status</w:t>
            </w:r>
          </w:p>
        </w:tc>
      </w:tr>
      <w:tr>
        <w:trPr>
          <w:cantSplit/>
        </w:trPr>
        <w:tc>
          <w:tcPr>
            <w:tcW w:type="dxa" w:w="245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ACT01 Reconcile opening receivables</w:t>
            </w:r>
          </w:p>
        </w:tc>
        <w:tc>
          <w:tcPr>
            <w:tcW w:type="dxa" w:w="18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CFO / Financial Controller</w:t>
            </w:r>
          </w:p>
        </w:tc>
        <w:tc>
          <w:tcPr>
            <w:tcW w:type="dxa" w:w="131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30 Jan 2027</w:t>
            </w:r>
          </w:p>
        </w:tc>
        <w:tc>
          <w:tcPr>
            <w:tcW w:type="dxa" w:w="303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60.50 opening ledger reconciled; disputed and unbilled items separate</w:t>
            </w:r>
          </w:p>
        </w:tc>
        <w:tc>
          <w:tcPr>
            <w:tcW w:type="dxa" w:w="11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Not started</w:t>
            </w:r>
          </w:p>
        </w:tc>
      </w:tr>
      <w:tr>
        <w:trPr>
          <w:cantSplit/>
        </w:trPr>
        <w:tc>
          <w:tcPr>
            <w:tcW w:type="dxa" w:w="245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ACT02 Release office and line capacity</w:t>
            </w:r>
          </w:p>
        </w:tc>
        <w:tc>
          <w:tcPr>
            <w:tcW w:type="dxa" w:w="18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CEO / Transformation Director</w:t>
            </w:r>
          </w:p>
        </w:tc>
        <w:tc>
          <w:tcPr>
            <w:tcW w:type="dxa" w:w="131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15 Jan 2027</w:t>
            </w:r>
          </w:p>
        </w:tc>
        <w:tc>
          <w:tcPr>
            <w:tcW w:type="dxa" w:w="303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32 internal FTE released; two external office roles identified</w:t>
            </w:r>
          </w:p>
        </w:tc>
        <w:tc>
          <w:tcPr>
            <w:tcW w:type="dxa" w:w="11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Proposed</w:t>
            </w:r>
          </w:p>
        </w:tc>
      </w:tr>
      <w:tr>
        <w:trPr>
          <w:cantSplit/>
        </w:trPr>
        <w:tc>
          <w:tcPr>
            <w:tcW w:type="dxa" w:w="245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ACT03 Resolve utilisation definition</w:t>
            </w:r>
          </w:p>
        </w:tc>
        <w:tc>
          <w:tcPr>
            <w:tcW w:type="dxa" w:w="18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COO / Operations Performance Lead</w:t>
            </w:r>
          </w:p>
        </w:tc>
        <w:tc>
          <w:tcPr>
            <w:tcW w:type="dxa" w:w="131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15 Jan 2027</w:t>
            </w:r>
          </w:p>
        </w:tc>
        <w:tc>
          <w:tcPr>
            <w:tcW w:type="dxa" w:w="303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62% definition accepted; local 69% difference recorded</w:t>
            </w:r>
          </w:p>
        </w:tc>
        <w:tc>
          <w:tcPr>
            <w:tcW w:type="dxa" w:w="11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Not started</w:t>
            </w:r>
          </w:p>
        </w:tc>
      </w:tr>
      <w:tr>
        <w:trPr>
          <w:cantSplit/>
        </w:trPr>
        <w:tc>
          <w:tcPr>
            <w:tcW w:type="dxa" w:w="245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ACT04 Establish metric dictionary</w:t>
            </w:r>
          </w:p>
        </w:tc>
        <w:tc>
          <w:tcPr>
            <w:tcW w:type="dxa" w:w="18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CIO / Data and Reporting Analyst</w:t>
            </w:r>
          </w:p>
        </w:tc>
        <w:tc>
          <w:tcPr>
            <w:tcW w:type="dxa" w:w="131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30 Jan 2027</w:t>
            </w:r>
          </w:p>
        </w:tc>
        <w:tc>
          <w:tcPr>
            <w:tcW w:type="dxa" w:w="303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Common codes, denominators and at least 98% pilot mapping</w:t>
            </w:r>
          </w:p>
        </w:tc>
        <w:tc>
          <w:tcPr>
            <w:tcW w:type="dxa" w:w="11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Not started</w:t>
            </w:r>
          </w:p>
        </w:tc>
      </w:tr>
      <w:tr>
        <w:trPr>
          <w:cantSplit/>
        </w:trPr>
        <w:tc>
          <w:tcPr>
            <w:tcW w:type="dxa" w:w="245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ACT05 Approve two-hub pilot design</w:t>
            </w:r>
          </w:p>
        </w:tc>
        <w:tc>
          <w:tcPr>
            <w:tcW w:type="dxa" w:w="18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COO / Service Improvement Manager</w:t>
            </w:r>
          </w:p>
        </w:tc>
        <w:tc>
          <w:tcPr>
            <w:tcW w:type="dxa" w:w="131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30 Jan 2027</w:t>
            </w:r>
          </w:p>
        </w:tc>
        <w:tc>
          <w:tcPr>
            <w:tcW w:type="dxa" w:w="303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Process, safeguards, service baseline and rollback plan</w:t>
            </w:r>
          </w:p>
        </w:tc>
        <w:tc>
          <w:tcPr>
            <w:tcW w:type="dxa" w:w="11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Proposed</w:t>
            </w:r>
          </w:p>
        </w:tc>
      </w:tr>
      <w:tr>
        <w:trPr>
          <w:cantSplit/>
        </w:trPr>
        <w:tc>
          <w:tcPr>
            <w:tcW w:type="dxa" w:w="245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ACT06 Validate contract cost allocation</w:t>
            </w:r>
          </w:p>
        </w:tc>
        <w:tc>
          <w:tcPr>
            <w:tcW w:type="dxa" w:w="18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CFO / Finance controllers</w:t>
            </w:r>
          </w:p>
        </w:tc>
        <w:tc>
          <w:tcPr>
            <w:tcW w:type="dxa" w:w="131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14 Feb 2027</w:t>
            </w:r>
          </w:p>
        </w:tc>
        <w:tc>
          <w:tcPr>
            <w:tcW w:type="dxa" w:w="303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Contract economics reconciled; stranded costs explicit</w:t>
            </w:r>
          </w:p>
        </w:tc>
        <w:tc>
          <w:tcPr>
            <w:tcW w:type="dxa" w:w="11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Not started</w:t>
            </w:r>
          </w:p>
        </w:tc>
      </w:tr>
      <w:tr>
        <w:trPr>
          <w:cantSplit/>
        </w:trPr>
        <w:tc>
          <w:tcPr>
            <w:tcW w:type="dxa" w:w="245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ACT07 Complete repricing register</w:t>
            </w:r>
          </w:p>
        </w:tc>
        <w:tc>
          <w:tcPr>
            <w:tcW w:type="dxa" w:w="18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CCO / Account directors</w:t>
            </w:r>
          </w:p>
        </w:tc>
        <w:tc>
          <w:tcPr>
            <w:tcW w:type="dxa" w:w="131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1 Mar 2027</w:t>
            </w:r>
          </w:p>
        </w:tc>
        <w:tc>
          <w:tcPr>
            <w:tcW w:type="dxa" w:w="303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60.00 eligible revenue pool validated with Finance</w:t>
            </w:r>
          </w:p>
        </w:tc>
        <w:tc>
          <w:tcPr>
            <w:tcW w:type="dxa" w:w="11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Proposed</w:t>
            </w:r>
          </w:p>
        </w:tc>
      </w:tr>
      <w:tr>
        <w:trPr>
          <w:cantSplit/>
        </w:trPr>
        <w:tc>
          <w:tcPr>
            <w:tcW w:type="dxa" w:w="245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ACT08 Launch pilots and verify skills</w:t>
            </w:r>
          </w:p>
        </w:tc>
        <w:tc>
          <w:tcPr>
            <w:tcW w:type="dxa" w:w="1885"/>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COO and CHRO / Pilot hub managers</w:t>
            </w:r>
          </w:p>
        </w:tc>
        <w:tc>
          <w:tcPr>
            <w:tcW w:type="dxa" w:w="131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1 Mar 2027</w:t>
            </w:r>
          </w:p>
        </w:tc>
        <w:tc>
          <w:tcPr>
            <w:tcW w:type="dxa" w:w="303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Trained users, control readiness and approved workflow</w:t>
            </w:r>
          </w:p>
        </w:tc>
        <w:tc>
          <w:tcPr>
            <w:tcW w:type="dxa" w:w="11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Proposed</w:t>
            </w:r>
          </w:p>
        </w:tc>
      </w:tr>
      <w:tr>
        <w:trPr>
          <w:cantSplit/>
        </w:trPr>
        <w:tc>
          <w:tcPr>
            <w:tcW w:type="dxa" w:w="245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ACT09 Assess service and funding gate</w:t>
            </w:r>
          </w:p>
        </w:tc>
        <w:tc>
          <w:tcPr>
            <w:tcW w:type="dxa" w:w="1885"/>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Transformation Director and CFO</w:t>
            </w:r>
          </w:p>
        </w:tc>
        <w:tc>
          <w:tcPr>
            <w:tcW w:type="dxa" w:w="131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31 Mar 2027</w:t>
            </w:r>
          </w:p>
        </w:tc>
        <w:tc>
          <w:tcPr>
            <w:tcW w:type="dxa" w:w="303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Separate hub evidence, benefit profiles, capacity and cash forecast</w:t>
            </w:r>
          </w:p>
        </w:tc>
        <w:tc>
          <w:tcPr>
            <w:tcW w:type="dxa" w:w="11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before="20" w:line="245" w:lineRule="auto"/>
            </w:pPr>
            <w:r>
              <w:rPr>
                <w:b w:val="0"/>
                <w:color w:val="24323E"/>
                <w:sz w:val="18"/>
              </w:rPr>
              <w:t>Proposed</w:t>
            </w:r>
          </w:p>
        </w:tc>
      </w:tr>
    </w:tbl>
    <w:p>
      <w:pPr>
        <w:spacing w:after="0" w:line="60" w:lineRule="exact"/>
      </w:pPr>
      <w:r>
        <w:rPr>
          <w:sz w:val="4"/>
        </w:rPr>
        <w:t xml:space="preserve"> </w:t>
      </w:r>
    </w:p>
    <w:p>
      <w:r>
        <w:t>ACT01 is the supplied case example. ACT02-ACT09 and calendar dates translating day 15/30/45/60 are proposed drafting details; day 1 is 1 January 2027. No completion is asserted.</w:t>
      </w:r>
    </w:p>
    <w:p>
      <w:r>
        <w:t>Proposed operating routine: workstream leads update evidence before the weekly portfolio review. The Planning and Dependency Lead checks cross-workstream consequences and capacity. The Transformation Director records an action or escalation for each missed commitment; changing a due date never erases the original baseline.</w:t>
      </w:r>
    </w:p>
    <w:p>
      <w:r>
        <w:rPr>
          <w:i/>
          <w:sz w:val="16"/>
        </w:rPr>
        <w:t>Source: SRC09: First 90 days and roadmap, sections 12 and 13; SRC13: Risks and issues, section 17; section 20 completed examples. All case evidence is fictional.</w:t>
      </w:r>
    </w:p>
    <w:p>
      <w:pPr>
        <w:pStyle w:val="Heading1"/>
        <w:pageBreakBefore/>
      </w:pPr>
      <w:r>
        <w:t>Completed initiative and benefit profiles</w:t>
      </w:r>
    </w:p>
    <w:p>
      <w:pPr>
        <w:pStyle w:val="Heading2"/>
      </w:pPr>
      <w:r>
        <w:t>I03 Service standards and dispatch</w:t>
      </w:r>
    </w:p>
    <w:p>
      <w:r>
        <w:t>Initiative charter example I03: problem, 84% company SLA and avoidable recovery cost; owner, COO; lead, Service Improvement Manager; scope, two pilot hubs and common triage/dispatch/closure; exclusions, company-wide workforce removal and ERP replacement; deliverables, approved process, trained teams, KPI baseline and pilot evaluation; start, 1 January 2027; first gate, 31 March 2027; dependencies, I11 metric definitions and I12 workflow; benefit, B06; gate, four weeks at 90% pilot SLA and 78% pilot first-time resolution with safety and customer safeguards; funding, within the service-process allocation, with initiative-specific release still to be approved.</w:t>
      </w:r>
    </w:p>
    <w:p>
      <w:r>
        <w:t>The first gate evaluates whether the service model is safe and repeatable in both hubs. The initiative lead should retain the approved process version, training/competency records, data reconciliation, weekly results and incident record as one evidence pack. Initiative-level funding release remains to be approved within the supplied category allocation.</w:t>
      </w:r>
    </w:p>
    <w:p>
      <w:pPr>
        <w:pStyle w:val="Heading2"/>
      </w:pPr>
      <w:r>
        <w:t>B04 Cashable workforce productivity</w:t>
      </w:r>
    </w:p>
    <w:p>
      <w:r>
        <w:t>Benefit profile example B04: owner, COO; baseline cost category, direct employee expense; annual target, 6.00; formula, 50 funded positions at 0.12 each; classification, recurring cashable operating saving; recognition, after paid cost is removed and service conditions met; excluded value, 20 redeployed roles and avoided future hiring; delivery dependencies, I03 and I13; validation, Finance compares payroll and funded-position records with the approved baseline. Do not fabricate an initiative-level approved budget where only a category allocation is supplied.</w:t>
      </w:r>
    </w:p>
    <w:p>
      <w:r>
        <w:t>Proposed recognition control: Operations submits the approved position plan and service evidence; HR confirms the authorised transition process; Finance compares funded-position and payroll records with the baseline. Separate removed positions, redeployments and avoided recruitment. Book no value for the latter two categories.</w:t>
      </w:r>
    </w:p>
    <w:p>
      <w:r>
        <w:rPr>
          <w:i/>
          <w:sz w:val="16"/>
        </w:rPr>
        <w:t>Source: SRC05: Benefits and profit bridge, section 8; SRC08: Workstreams and portfolio, section 11; section 20 completed examples. All case evidence is fictional.</w:t>
      </w:r>
    </w:p>
    <w:p>
      <w:pPr>
        <w:pStyle w:val="Heading1"/>
        <w:pageBreakBefore/>
      </w:pPr>
      <w:r>
        <w:t>Day 90 decision and recovery conditions</w:t>
      </w:r>
    </w:p>
    <w:p>
      <w:r>
        <w:t>The Transformation Director and CFO submit the day-90 pack on 31 March 2027. It must show baseline limitations, each pilot's four-week record, validated benefit profiles, cash exposure and funded next-wave capacity. The Steering Committee recommends the next funding release to the authorised decision maker.</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Gate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Required evidence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Authority and outcome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Intake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Problem, owner, outcome, cost estimate, capacity, dependency, benefit class, risks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Office checks completeness; sponsor accepts assessment.</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Diagnostic validation</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Reconciled baseline, definitions, root cause and remaining limitations</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Accountable executive with Finance challenge.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Business case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Options, incremental money, service safeguards, funded capacity and conditions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Relevant delegated funding authority. No self-approval by the office.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readiness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process, training, data mapping, control checks and rollback</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CIO for service/technical readiness; funding separately authorised.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Rollout</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Four compliant weeks in each pilot, control evidence, next-wave capacity and cash</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Accountable executives and relevant funding authority.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Closure</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Business owner accepts controls, residual risks and forecast benefits</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programme closure; Finance retains benefit assurance.</w:t>
            </w:r>
          </w:p>
        </w:tc>
      </w:tr>
    </w:tbl>
    <w:p>
      <w:pPr>
        <w:spacing w:after="0" w:line="60" w:lineRule="exact"/>
      </w:pPr>
      <w:r>
        <w:rPr>
          <w:sz w:val="4"/>
        </w:rPr>
        <w:t xml:space="preserve"> </w:t>
      </w:r>
    </w:p>
    <w:p>
      <w:r>
        <w:t>Hold rollout if either pilot fails, critical controls remain unresolved or capacity is unconfirmed. Preserve service cover and use the tested rollback where necessary. The CFO reforecasts the timing of benefits and cash before recommending bounded remediation. Workforce reductions dependent on the failed pilot remain on hold.</w:t>
      </w:r>
    </w:p>
    <w:p>
      <w:r>
        <w:t>No day-90 actuals or later approvals appear in this plan. The separate review snapshot can be used for a later demonstration without rewriting the original baseline. This plan closes with a proposed decision, not an assertion that mobilisation has succeeded.</w:t>
      </w:r>
    </w:p>
    <w:p>
      <w:r>
        <w:rPr>
          <w:i/>
          <w:sz w:val="16"/>
        </w:rPr>
        <w:t>Source: SRC09: First 90 days and roadmap, sections 12 and 13; SRC10: Office and governance, sections 14 and 18; SRC14: Assumptions and gaps, section 19. All case evidence is fictional.</w:t>
      </w:r>
    </w:p>
    <w:sectPr w:rsidR="00FC693F" w:rsidRPr="0006063C" w:rsidSect="00034616">
      <w:headerReference w:type="default" r:id="rId9"/>
      <w:footerReference w:type="default" r:id="rId10"/>
      <w:pgSz w:w="11909" w:h="16834"/>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Fictional demonstration  |  ACME-BASE-20261215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365E63"/>
        <w:sz w:val="16"/>
      </w:rPr>
      <w:t>ACME INTEGRATED SERVICES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69" w:lineRule="auto"/>
    </w:pPr>
    <w:rPr>
      <w:rFonts w:ascii="Arial" w:hAnsi="Arial"/>
      <w:color w:val="2432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ascii="Arial" w:hAnsi="Arial"/>
      <w:b w:val="0"/>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 90-Day Transformation Plan</dc:title>
  <dc:subject>Fictional demonstration - proposed baseline</dc:subject>
  <dc:creator/>
  <cp:keywords>Acme, fictional demonstration, ACME-BASE-20261215</cp:keywords>
  <dc:description>generated by python-docx</dc:description>
  <cp:lastModifiedBy/>
  <cp:revision>1</cp:revision>
  <dcterms:created xsi:type="dcterms:W3CDTF">2013-12-23T23:15:00Z</dcterms:created>
  <dcterms:modified xsi:type="dcterms:W3CDTF">2013-12-23T23:15:00Z</dcterms:modified>
  <cp:category/>
</cp:coreProperties>
</file>