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ACME INTEGRATED SERVICES GROUP</w:t>
      </w:r>
    </w:p>
    <w:p>
      <w:pPr>
        <w:pStyle w:val="Title"/>
      </w:pPr>
      <w:r>
        <w:t>Transformation Office Setup Pack</w:t>
      </w:r>
    </w:p>
    <w:p>
      <w:pPr>
        <w:pStyle w:val="Subtitle"/>
      </w:pPr>
      <w:r>
        <w:t>Service and Profitability Transformation</w:t>
      </w:r>
    </w:p>
    <w:p>
      <w:r>
        <w:t>Review an operating blueprint for a Transformation Office, including governance, roles, decision rights and working templates.</w:t>
      </w:r>
    </w:p>
    <w:p>
      <w:r>
        <w:t>Prepared for CEO and Transformation Director</w:t>
      </w:r>
    </w:p>
    <w:p>
      <w:r>
        <w:t>Case version 1.0</w:t>
        <w:br/>
        <w:t>Evidence cut-off 15 December 2026</w:t>
        <w:br/>
        <w:t>Financial amounts in AED million unless stated otherwise</w:t>
      </w:r>
    </w:p>
    <w:p>
      <w:r>
        <w:t>Fictional demonstration. Acme is a fictional organisation. All figures, people and proposed outcomes are illustrative.</w:t>
      </w:r>
    </w:p>
    <w:p>
      <w:r>
        <w:t>Baseline as at 15 December 2026. All approvals and funding releases remain proposed.</w:t>
      </w:r>
    </w:p>
    <w:p>
      <w:r>
        <w:t>The editable working register accompanies this report. Source IDs refer to embedded exhibits in the supplied Acme Transformation Master Case, not external research or independently verified client records.</w:t>
      </w:r>
    </w:p>
    <w:p>
      <w:r>
        <w:br w:type="page"/>
      </w:r>
    </w:p>
    <w:p>
      <w:pPr>
        <w:pStyle w:val="Heading1"/>
      </w:pPr>
      <w:r>
        <w:t>Contents</w:t>
      </w:r>
    </w:p>
    <w:p>
      <w:pPr>
        <w:spacing w:after="80"/>
      </w:pPr>
      <w:r>
        <w:t>01  Charter and establishment decision</w:t>
      </w:r>
    </w:p>
    <w:p>
      <w:pPr>
        <w:spacing w:after="80"/>
      </w:pPr>
      <w:r>
        <w:t>02  Hybrid accountability and decision rights</w:t>
      </w:r>
    </w:p>
    <w:p>
      <w:pPr>
        <w:spacing w:after="80"/>
      </w:pPr>
      <w:r>
        <w:t>03  Office structure and funded capacity</w:t>
      </w:r>
    </w:p>
    <w:p>
      <w:pPr>
        <w:spacing w:after="80"/>
      </w:pPr>
      <w:r>
        <w:t>04  Leadership and portfolio role profiles</w:t>
      </w:r>
    </w:p>
    <w:p>
      <w:pPr>
        <w:spacing w:after="80"/>
      </w:pPr>
      <w:r>
        <w:t>05  Change data and assurance role profiles</w:t>
      </w:r>
    </w:p>
    <w:p>
      <w:pPr>
        <w:spacing w:after="80"/>
      </w:pPr>
      <w:r>
        <w:t>06  Service catalogue and operating commitments</w:t>
      </w:r>
    </w:p>
    <w:p>
      <w:pPr>
        <w:spacing w:after="80"/>
      </w:pPr>
      <w:r>
        <w:t>07  Board transformation review</w:t>
      </w:r>
    </w:p>
    <w:p>
      <w:pPr>
        <w:spacing w:after="80"/>
      </w:pPr>
      <w:r>
        <w:t>08  Executive Steering Committee</w:t>
      </w:r>
    </w:p>
    <w:p>
      <w:pPr>
        <w:spacing w:after="80"/>
      </w:pPr>
      <w:r>
        <w:t>09  Portfolio delivery review</w:t>
      </w:r>
    </w:p>
    <w:p>
      <w:pPr>
        <w:spacing w:after="80"/>
      </w:pPr>
      <w:r>
        <w:t>10  Benefits and cash review</w:t>
      </w:r>
    </w:p>
    <w:p>
      <w:pPr>
        <w:spacing w:after="80"/>
      </w:pPr>
      <w:r>
        <w:t>11  Service design and control review</w:t>
      </w:r>
    </w:p>
    <w:p>
      <w:pPr>
        <w:spacing w:after="80"/>
      </w:pPr>
      <w:r>
        <w:t>12  Intake and portfolio prioritisation</w:t>
      </w:r>
    </w:p>
    <w:p>
      <w:pPr>
        <w:spacing w:after="80"/>
      </w:pPr>
      <w:r>
        <w:t>13  Stage gates and evidence checklist</w:t>
      </w:r>
    </w:p>
    <w:p>
      <w:pPr>
        <w:spacing w:after="80"/>
      </w:pPr>
      <w:r>
        <w:t>14  Change control and delegated thresholds</w:t>
      </w:r>
    </w:p>
    <w:p>
      <w:pPr>
        <w:spacing w:after="80"/>
      </w:pPr>
      <w:r>
        <w:t>15  Benefit validation and overlap control</w:t>
      </w:r>
    </w:p>
    <w:p>
      <w:pPr>
        <w:spacing w:after="80"/>
      </w:pPr>
      <w:r>
        <w:t>16  Completed benefit profile B04</w:t>
      </w:r>
    </w:p>
    <w:p>
      <w:pPr>
        <w:spacing w:after="80"/>
      </w:pPr>
      <w:r>
        <w:t>17  Reporting and the monthly executive pack</w:t>
      </w:r>
    </w:p>
    <w:p>
      <w:pPr>
        <w:spacing w:after="80"/>
      </w:pPr>
      <w:r>
        <w:t>18  Measures and status rules</w:t>
      </w:r>
    </w:p>
    <w:p>
      <w:pPr>
        <w:spacing w:after="80"/>
      </w:pPr>
      <w:r>
        <w:t>19  Risk issue and dependency procedures</w:t>
      </w:r>
    </w:p>
    <w:p>
      <w:pPr>
        <w:spacing w:after="80"/>
      </w:pPr>
      <w:r>
        <w:t>20  Completed initiative charter I03</w:t>
      </w:r>
    </w:p>
    <w:p>
      <w:pPr>
        <w:spacing w:after="80"/>
      </w:pPr>
      <w:r>
        <w:t>21  First thirty days of office mobilisation</w:t>
      </w:r>
    </w:p>
    <w:p>
      <w:pPr>
        <w:spacing w:after="80"/>
      </w:pPr>
      <w:r>
        <w:t>22  Handover closure and remaining decisions</w:t>
      </w:r>
    </w:p>
    <w:p>
      <w:pPr>
        <w:spacing w:after="80"/>
      </w:pPr>
      <w:r>
        <w:t>23  Assumptions register and decision log</w:t>
      </w:r>
    </w:p>
    <w:p>
      <w:r>
        <w:t>Use the document navigation pane to move between sections. The companion workbook contains the complete editable registers.</w:t>
      </w:r>
    </w:p>
    <w:p>
      <w:r>
        <w:br w:type="page"/>
      </w:r>
    </w:p>
    <w:p>
      <w:pPr>
        <w:pStyle w:val="Heading1"/>
      </w:pPr>
      <w:r>
        <w:t>Charter and establishment decision</w:t>
      </w:r>
    </w:p>
    <w:p>
      <w:r>
        <w:t>Establish a CEO-sponsored Transformation Office to make Acme's service and profitability programme executable. Its mandate covers portfolio standards, integrated planning, dependencies, escalation, change control and reporting for January 2027 to December 2028. The organisation and funding remain proposed in this baseline.</w:t>
      </w:r>
    </w:p>
    <w:p>
      <w:r>
        <w:t>The office gives the CEO a consistent view of value, delivery and risk while line executives retain responsibility for operating changes, customers, employees and realised benefits. Finance retains validation. This separation is central to the hybrid model: the office cannot approve its own investment, replace a service owner or book a benefit a second time.</w:t>
      </w:r>
    </w:p>
    <w:p>
      <w:r>
        <w:t>The establishment decision requests a ten-FTE structure, eight internal secondments and two external specialists, together with 24 FTE of line participation. Appointments require named releases and business cover. An accepted charter without released capacity fails mobilisation.</w:t>
      </w:r>
    </w:p>
    <w:p>
      <w:r>
        <w:t>The operating scope includes eight workstreams and sixteen initiatives. Major acquisitions, new countries, a full ERP replacement and unilateral changes to customer commitments are excluded. The Board retains changes to the total envelope and material strategic scope.</w:t>
      </w:r>
    </w:p>
    <w:p>
      <w:r>
        <w:t>Proposed charter acceptance: CEO signs the mandate; each executive accepts delivery ownership and capacity; CFO accepts the baseline and validation routine with limitations recorded; CIO and COO accept control and service interfaces. These are required future records, not completed signatures.</w:t>
      </w:r>
    </w:p>
    <w:p>
      <w:r>
        <w:rPr>
          <w:i/>
          <w:sz w:val="16"/>
        </w:rPr>
        <w:t>Source: SRC10: Office and governance, sections 14 and 18; SRC14: Assumptions and gaps, section 19. All case evidence is fictional.</w:t>
      </w:r>
    </w:p>
    <w:p>
      <w:pPr>
        <w:pStyle w:val="Heading1"/>
        <w:pageBreakBefore/>
      </w:pPr>
      <w:r>
        <w:t>Hybrid accountability and decision rights</w:t>
      </w:r>
    </w:p>
    <w:tbl>
      <w:tblPr>
        <w:tblW w:type="auto" w:w="0"/>
        <w:jc w:val="center"/>
        <w:tblLayout w:type="fixed"/>
        <w:tblLook w:firstColumn="1" w:firstRow="1" w:lastColumn="0" w:lastRow="0" w:noHBand="0" w:noVBand="1" w:val="04A0"/>
      </w:tblPr>
      <w:tblGrid>
        <w:gridCol w:w="4268"/>
        <w:gridCol w:w="1856"/>
        <w:gridCol w:w="1856"/>
        <w:gridCol w:w="1856"/>
      </w:tblGrid>
      <w:tr>
        <w:trPr>
          <w:cantSplit/>
          <w:tblHeader/>
        </w:trPr>
        <w:tc>
          <w:tcPr>
            <w:tcW w:type="dxa" w:w="4268"/>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Decision or activity</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Accountable</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Responsible</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Consulted</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envelope and material scope</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 and CFO</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Executive Steering Committee</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Enterprise prioritisation and resource release</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Functional executives</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Service design and operational readiness</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Process and hub owners</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CIO, CHRO, CCO</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Contract repricing and sales execution</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CCO</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Account directors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COO and Legal</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Baseline and realised-benefit validation</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Finance controllers and benefit analysts</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Benefit owner</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Delivery of each business benefit</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Named benefit executive</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Initiative lead and line teams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Finance and TO</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Platform security and technical readiness</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CIO</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Technical lead</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and control specialists</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Workforce transition process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CHRO</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HR and line managers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Finance and advisers</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Integrated reporting and escalation</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TO analysts and workstream leads</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and executives</w:t>
            </w:r>
          </w:p>
        </w:tc>
      </w:tr>
    </w:tbl>
    <w:p>
      <w:pPr>
        <w:spacing w:after="0" w:line="60" w:lineRule="exact"/>
      </w:pPr>
      <w:r>
        <w:rPr>
          <w:sz w:val="4"/>
        </w:rPr>
        <w:t xml:space="preserve"> </w:t>
      </w:r>
    </w:p>
    <w:p>
      <w:r>
        <w:t>The CEO resolves conflicts that no function can settle alone. The Transformation Director presents alternatives, timing and consequences, then records the decision and condition owner. A delay is not resolved by moving accountability to the office.</w:t>
      </w:r>
    </w:p>
    <w:p>
      <w:r>
        <w:t>Board-reserved matters include changes to the envelope, acquisitions, country entry, strategic commitments and customer exits above 2.00 annual revenue per relationship. CEO reallocation is limited to 0.50 per request within a released tranche, with envelope and safeguards unchanged. CFO and the relevant executive may approve routine changes up to 0.10 within a released workstream budget. Aggregate related requests to prevent splitting.</w:t>
      </w:r>
    </w:p>
    <w:p>
      <w:r>
        <w:rPr>
          <w:i/>
          <w:sz w:val="16"/>
        </w:rPr>
        <w:t>Source: SRC10: Office and governance, sections 14 and 18. All case evidence is fictional.</w:t>
      </w:r>
    </w:p>
    <w:p>
      <w:pPr>
        <w:pStyle w:val="Heading1"/>
        <w:pageBreakBefore/>
      </w:pPr>
      <w:r>
        <w:t>Office structure and funded capacity</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Capacity</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FTE</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Control</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Internal Transformation Office secondments</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Within baseline payroll; named releases required.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Temporary external office specialists</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Within office/change allocation; individual appointments proposed.</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Eight workstream leads at 0.5 FTE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Part of the 24 FTE line capacity.</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Line specialists, hub and process owners</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Protected delivery capacity, additional to the eight office secondments.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Total internal release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32</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 + 4 + 20. No increase to employee headcount.</w:t>
            </w:r>
          </w:p>
        </w:tc>
      </w:tr>
    </w:tbl>
    <w:p>
      <w:pPr>
        <w:spacing w:after="0" w:line="60" w:lineRule="exact"/>
      </w:pPr>
      <w:r>
        <w:rPr>
          <w:sz w:val="4"/>
        </w:rPr>
        <w:t xml:space="preserve"> </w:t>
      </w:r>
    </w:p>
    <w:p>
      <w:r>
        <w:t>The Transformation Director reports directly to the CEO. Proposed internal design: office specialists report to the Director with working interfaces to Finance, CIO and CHRO. These reporting details support implementation and require adoption with the charter.</w:t>
      </w:r>
    </w:p>
    <w:p>
      <w:r>
        <w:t>Eight internal secondments remain in baseline payroll. Two temporary external roles sit within the 2.80 office/change category, but the case does not allocate named roles or initiative-level budgets. Agree those sourcing decisions separately. The office creates no unrecorded saving.</w:t>
      </w:r>
    </w:p>
    <w:p>
      <w:r>
        <w:t>Line capacity totals 24 FTE: eight leads at 0.5 FTE plus 20 FTE of specialist, hub and process time. The CEO owns release of the combined 32 internal FTE. Protected roles and essential specialists are excluded from the 50-position reduction target. Weekly scheduling must show both delivery demand and continuing business cover.</w:t>
      </w:r>
    </w:p>
    <w:p>
      <w:r>
        <w:rPr>
          <w:i/>
          <w:sz w:val="16"/>
        </w:rPr>
        <w:t>Source: SRC10: Office and governance, sections 14 and 18. All case evidence is fictional.</w:t>
      </w:r>
    </w:p>
    <w:p>
      <w:pPr>
        <w:pStyle w:val="Heading1"/>
        <w:pageBreakBefore/>
      </w:pPr>
      <w:r>
        <w:t>Leadership and portfolio role profiles</w:t>
      </w:r>
    </w:p>
    <w:tbl>
      <w:tblPr>
        <w:tblW w:type="auto" w:w="0"/>
        <w:jc w:val="center"/>
        <w:tblLayout w:type="fixed"/>
        <w:tblLook w:firstColumn="1" w:firstRow="1" w:lastColumn="0" w:lastRow="0" w:noHBand="0" w:noVBand="1" w:val="04A0"/>
      </w:tblPr>
      <w:tblGrid>
        <w:gridCol w:w="3591"/>
        <w:gridCol w:w="1561"/>
        <w:gridCol w:w="1561"/>
        <w:gridCol w:w="1561"/>
        <w:gridCol w:w="1561"/>
      </w:tblGrid>
      <w:tr>
        <w:trPr>
          <w:cantSplit/>
          <w:tblHeader/>
        </w:trPr>
        <w:tc>
          <w:tcPr>
            <w:tcW w:type="dxa" w:w="359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Role</w:t>
            </w:r>
          </w:p>
        </w:tc>
        <w:tc>
          <w:tcPr>
            <w:tcW w:type="dxa" w:w="156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FTE</w:t>
            </w:r>
          </w:p>
        </w:tc>
        <w:tc>
          <w:tcPr>
            <w:tcW w:type="dxa" w:w="156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Reporting interface</w:t>
            </w:r>
          </w:p>
        </w:tc>
        <w:tc>
          <w:tcPr>
            <w:tcW w:type="dxa" w:w="156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Responsibilities</w:t>
            </w:r>
          </w:p>
        </w:tc>
        <w:tc>
          <w:tcPr>
            <w:tcW w:type="dxa" w:w="156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Acceptance evidence</w:t>
            </w:r>
          </w:p>
        </w:tc>
      </w:tr>
      <w:tr>
        <w:trPr>
          <w:cantSplit/>
        </w:trPr>
        <w:tc>
          <w:tcPr>
            <w:tcW w:type="dxa" w:w="359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Mandate, portfolio arbitration, escalation and handover</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Accepted charter, decision pack and resolved cross-functional conflicts</w:t>
            </w:r>
          </w:p>
        </w:tc>
      </w:tr>
      <w:tr>
        <w:trPr>
          <w:cantSplit/>
        </w:trPr>
        <w:tc>
          <w:tcPr>
            <w:tcW w:type="dxa" w:w="359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Portfolio Managers</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Coordinate workstreams and challenge dependencies</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Owned milestones, exceptions and credible next-wave plans</w:t>
            </w:r>
          </w:p>
        </w:tc>
      </w:tr>
      <w:tr>
        <w:trPr>
          <w:cantSplit/>
        </w:trPr>
        <w:tc>
          <w:tcPr>
            <w:tcW w:type="dxa" w:w="359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Planning and Dependency Lead</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Integrated roadmap, critical path and capacity</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Controlled plan and accepted dependency evidence</w:t>
            </w:r>
          </w:p>
        </w:tc>
      </w:tr>
      <w:tr>
        <w:trPr>
          <w:cantSplit/>
        </w:trPr>
        <w:tc>
          <w:tcPr>
            <w:tcW w:type="dxa" w:w="359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Benefits and Performance Analysts</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 Finance validation interface</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Benefit profiles, reconciliation and scorecard</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Traceable measures and Finance-reviewed benefit records</w:t>
            </w:r>
          </w:p>
        </w:tc>
      </w:tr>
    </w:tbl>
    <w:p>
      <w:pPr>
        <w:spacing w:after="0" w:line="60" w:lineRule="exact"/>
      </w:pPr>
      <w:r>
        <w:rPr>
          <w:sz w:val="4"/>
        </w:rPr>
        <w:t xml:space="preserve"> </w:t>
      </w:r>
    </w:p>
    <w:p>
      <w:r>
        <w:t>The Director owns the integrity of the portfolio view and escalates decisions the office cannot make. Portfolio Managers test whether initiative forecasts respect shared capacity and predecessor evidence. The Planning Lead controls baseline dates and needed-by dates. Analysts prepare transparent benefit records; Finance, not the analyst, validates realised money.</w:t>
      </w:r>
    </w:p>
    <w:p>
      <w:r>
        <w:rPr>
          <w:i/>
          <w:sz w:val="16"/>
        </w:rPr>
        <w:t>Source: SRC10: Office and governance, sections 14 and 18; proposed role detail. All case evidence is fictional.</w:t>
      </w:r>
    </w:p>
    <w:p>
      <w:pPr>
        <w:pStyle w:val="Heading1"/>
        <w:pageBreakBefore/>
      </w:pPr>
      <w:r>
        <w:t>Change data and assurance role profiles</w:t>
      </w:r>
    </w:p>
    <w:tbl>
      <w:tblPr>
        <w:tblW w:type="auto" w:w="0"/>
        <w:jc w:val="center"/>
        <w:tblLayout w:type="fixed"/>
        <w:tblLook w:firstColumn="1" w:firstRow="1" w:lastColumn="0" w:lastRow="0" w:noHBand="0" w:noVBand="1" w:val="04A0"/>
      </w:tblPr>
      <w:tblGrid>
        <w:gridCol w:w="3591"/>
        <w:gridCol w:w="1561"/>
        <w:gridCol w:w="1561"/>
        <w:gridCol w:w="1561"/>
        <w:gridCol w:w="1561"/>
      </w:tblGrid>
      <w:tr>
        <w:trPr>
          <w:cantSplit/>
          <w:tblHeader/>
        </w:trPr>
        <w:tc>
          <w:tcPr>
            <w:tcW w:type="dxa" w:w="359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Role</w:t>
            </w:r>
          </w:p>
        </w:tc>
        <w:tc>
          <w:tcPr>
            <w:tcW w:type="dxa" w:w="156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FTE</w:t>
            </w:r>
          </w:p>
        </w:tc>
        <w:tc>
          <w:tcPr>
            <w:tcW w:type="dxa" w:w="156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Reporting interface</w:t>
            </w:r>
          </w:p>
        </w:tc>
        <w:tc>
          <w:tcPr>
            <w:tcW w:type="dxa" w:w="156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Responsibilities</w:t>
            </w:r>
          </w:p>
        </w:tc>
        <w:tc>
          <w:tcPr>
            <w:tcW w:type="dxa" w:w="1561"/>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Acceptance evidence</w:t>
            </w:r>
          </w:p>
        </w:tc>
      </w:tr>
      <w:tr>
        <w:trPr>
          <w:cantSplit/>
        </w:trPr>
        <w:tc>
          <w:tcPr>
            <w:tcW w:type="dxa" w:w="359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Change Lead</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 CHRO interface</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Readiness, adoption and communication</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Competency and adoption evidence with unresolved concerns</w:t>
            </w:r>
          </w:p>
        </w:tc>
      </w:tr>
      <w:tr>
        <w:trPr>
          <w:cantSplit/>
        </w:trPr>
        <w:tc>
          <w:tcPr>
            <w:tcW w:type="dxa" w:w="359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Data and Reporting Analyst</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 CIO interface</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Dictionary, reporting data and source traceability</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Reconciled reporting with defined denominators</w:t>
            </w:r>
          </w:p>
        </w:tc>
      </w:tr>
      <w:tr>
        <w:trPr>
          <w:cantSplit/>
        </w:trPr>
        <w:tc>
          <w:tcPr>
            <w:tcW w:type="dxa" w:w="359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Governance Coordinator</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Forums, decisions, conditions and action records</w:t>
            </w:r>
          </w:p>
        </w:tc>
        <w:tc>
          <w:tcPr>
            <w:tcW w:type="dxa" w:w="1561"/>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Complete versioned minutes and decision register</w:t>
            </w:r>
          </w:p>
        </w:tc>
      </w:tr>
      <w:tr>
        <w:trPr>
          <w:cantSplit/>
        </w:trPr>
        <w:tc>
          <w:tcPr>
            <w:tcW w:type="dxa" w:w="359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Delivery Assurance Lead</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Independent challenge of gate evidence and controls</w:t>
            </w:r>
          </w:p>
        </w:tc>
        <w:tc>
          <w:tcPr>
            <w:tcW w:type="dxa" w:w="1561"/>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Recorded findings, residual risks and acceptance conditions</w:t>
            </w:r>
          </w:p>
        </w:tc>
      </w:tr>
    </w:tbl>
    <w:p>
      <w:pPr>
        <w:spacing w:after="0" w:line="60" w:lineRule="exact"/>
      </w:pPr>
      <w:r>
        <w:rPr>
          <w:sz w:val="4"/>
        </w:rPr>
        <w:t xml:space="preserve"> </w:t>
      </w:r>
    </w:p>
    <w:p>
      <w:r>
        <w:t>The Change Lead works through line managers and hub champions. The Data Analyst keeps reporting traceable to controlled definitions. The Coordinator records authority and conditions alongside each decision. The Assurance Lead challenges the evidence for go-live and closure without taking the delivery owner's accountability. Individual sourcing and appointment decisions remain open.</w:t>
      </w:r>
    </w:p>
    <w:p>
      <w:r>
        <w:rPr>
          <w:i/>
          <w:sz w:val="16"/>
        </w:rPr>
        <w:t>Source: SRC10: Office and governance, sections 14 and 18; SRC12: Leadership and adoption, section 16; proposed role detail. All case evidence is fictional.</w:t>
      </w:r>
    </w:p>
    <w:p>
      <w:pPr>
        <w:pStyle w:val="Heading1"/>
        <w:pageBreakBefore/>
      </w:pPr>
      <w:r>
        <w:t>Service catalogue and operating commitments</w:t>
      </w:r>
    </w:p>
    <w:tbl>
      <w:tblPr>
        <w:tblW w:type="auto" w:w="0"/>
        <w:jc w:val="center"/>
        <w:tblLayout w:type="fixed"/>
        <w:tblLook w:firstColumn="1" w:firstRow="1" w:lastColumn="0" w:lastRow="0" w:noHBand="0" w:noVBand="1" w:val="04A0"/>
      </w:tblPr>
      <w:tblGrid>
        <w:gridCol w:w="4268"/>
        <w:gridCol w:w="1856"/>
        <w:gridCol w:w="1856"/>
        <w:gridCol w:w="1856"/>
      </w:tblGrid>
      <w:tr>
        <w:trPr>
          <w:cantSplit/>
          <w:tblHeader/>
        </w:trPr>
        <w:tc>
          <w:tcPr>
            <w:tcW w:type="dxa" w:w="4268"/>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Service</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Office owner</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Cadence</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Standard output</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Intake and prioritisation</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Portfolio Managers</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On submission; weekly triage</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Complete intake and sponsor recommendation</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Planning and dependencies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Planning and Dependency Lead</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Weekly</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Integrated plan, accepted dependencies and resource exceptions</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Benefits assurance</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Benefits Analysts with Finance</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Monthly</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Unique ledger and Finance validation status</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Management reporting</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Data and Reporting Analyst</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Monthly</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Source-dated decision pack and KPI exceptions</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Risk and decision administration</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Governance Coordinator</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Weekly and by exception</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RAID, conditions and named actions</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Change control</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Portfolio Managers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Before commitments change</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Impact assessment and authority decision</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Handover assurance</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Delivery Assurance Lead</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At gates and closure</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Business acceptance and residual-benefit obligations</w:t>
            </w:r>
          </w:p>
        </w:tc>
      </w:tr>
    </w:tbl>
    <w:p>
      <w:pPr>
        <w:spacing w:after="0" w:line="60" w:lineRule="exact"/>
      </w:pPr>
      <w:r>
        <w:rPr>
          <w:sz w:val="4"/>
        </w:rPr>
        <w:t xml:space="preserve"> </w:t>
      </w:r>
    </w:p>
    <w:p>
      <w:r>
        <w:t>At mobilisation, inventory current reporting and remove duplicates when the new routine takes over. A useful service produces an accepted input, decision or control record. Proposed service rule: incomplete submissions return to the accountable line owner with a specific missing field, a due date and an escalation route.</w:t>
      </w:r>
    </w:p>
    <w:p>
      <w:r>
        <w:t>Each service owner maintains a current template and evidence location. Line teams supply operational facts, Finance validates financial records, and the office consolidates the view. Restrict customer, payroll and individual employee details to authorised business systems; the executive pack should use the minimum necessary detail.</w:t>
      </w:r>
    </w:p>
    <w:p>
      <w:r>
        <w:rPr>
          <w:i/>
          <w:sz w:val="16"/>
        </w:rPr>
        <w:t>Source: SRC10: Office and governance, sections 14 and 18; proposed service assignments. All case evidence is fictional.</w:t>
      </w:r>
    </w:p>
    <w:p>
      <w:pPr>
        <w:pStyle w:val="Heading1"/>
        <w:pageBreakBefore/>
      </w:pPr>
      <w:r>
        <w:t>Board transformation review</w:t>
      </w:r>
    </w:p>
    <w:p>
      <w:r>
        <w:t>Purpose and authority: Envelope, material strategic scope, risk appetite and customer exits above 2.00 annual revenue per relationship. Cadence: Quarterly and by exception. Membership: Chair, CEO, CFO and invited executives.</w:t>
      </w:r>
    </w:p>
    <w:p>
      <w:pPr>
        <w:pStyle w:val="Heading2"/>
      </w:pPr>
      <w:r>
        <w:t>Preparation and evidence</w:t>
      </w:r>
    </w:p>
    <w:p>
      <w:r>
        <w:t>Required inputs: CFO cash and scenario paper; Steering recommendation; assurance exceptions; material scope requests. Proposed routine: the Coordinator circulates a versioned pre-read two working days before scheduled meetings; urgent safety, cash or security matters bypass the timetable and escalate immediately.</w:t>
      </w:r>
    </w:p>
    <w:p>
      <w:pPr>
        <w:pStyle w:val="Heading2"/>
      </w:pPr>
      <w:r>
        <w:t>Quorum and attendance</w:t>
      </w:r>
    </w:p>
    <w:p>
      <w:r>
        <w:t>Proposed assumption: Chair plus a majority of serving Board members, with CEO and CFO present for funding. Confirm against formal corporate rules before adoption.</w:t>
      </w:r>
    </w:p>
    <w:p>
      <w:pPr>
        <w:pStyle w:val="Heading2"/>
      </w:pPr>
      <w:r>
        <w:t>Decisions and escalation</w:t>
      </w:r>
    </w:p>
    <w:p>
      <w:r>
        <w:t>Record resolution, amount, conditions, decision authority and next review. No funding release exists merely because a discussion took place.</w:t>
      </w:r>
    </w:p>
    <w:p>
      <w:r>
        <w:t>The chair identifies whether each item is for decision, recommendation, challenge or information. Record the applicable delegation, evidence considered, alternatives, conditions, accountable owner and due date. If quorum or evidence is incomplete, record the item as deferred rather than retrospectively approved.</w:t>
      </w:r>
    </w:p>
    <w:p>
      <w:pPr>
        <w:pStyle w:val="Heading2"/>
      </w:pPr>
      <w:r>
        <w:t>Records and follow through</w:t>
      </w:r>
    </w:p>
    <w:p>
      <w:r>
        <w:t>Proposed routine: the Coordinator issues draft minutes and actions within two working days. The chair confirms accuracy, affected owners accept actions, and the next meeting reviews overdue conditions. Retain the original paper and decision together; revisions create a new dated version. A recurring meeting does not supersede the urgent escalation rules.</w:t>
      </w:r>
    </w:p>
    <w:p>
      <w:r>
        <w:rPr>
          <w:i/>
          <w:sz w:val="16"/>
        </w:rPr>
        <w:t>Source: SRC10: Office and governance, sections 14 and 18; proposed operating terms. All case evidence is fictional.</w:t>
      </w:r>
    </w:p>
    <w:p>
      <w:pPr>
        <w:pStyle w:val="Heading1"/>
        <w:pageBreakBefore/>
      </w:pPr>
      <w:r>
        <w:t>Executive Steering Committee</w:t>
      </w:r>
    </w:p>
    <w:p>
      <w:r>
        <w:t>Purpose and authority: Enterprise trade-offs, recovery and funding recommendations; delegated decisions only within released authority. Cadence: Monthly. Membership: CEO as chair, CFO, COO, CCO, CIO, CHRO and Transformation Director.</w:t>
      </w:r>
    </w:p>
    <w:p>
      <w:pPr>
        <w:pStyle w:val="Heading2"/>
      </w:pPr>
      <w:r>
        <w:t>Preparation and evidence</w:t>
      </w:r>
    </w:p>
    <w:p>
      <w:r>
        <w:t>Required inputs: Portfolio exceptions; benefits and cash; service safeguards; capacity conflicts; changes needing arbitration. Proposed routine: the Coordinator circulates a versioned pre-read two working days before scheduled meetings; urgent safety, cash or security matters bypass the timetable and escalate immediately.</w:t>
      </w:r>
    </w:p>
    <w:p>
      <w:pPr>
        <w:pStyle w:val="Heading2"/>
      </w:pPr>
      <w:r>
        <w:t>Quorum and attendance</w:t>
      </w:r>
    </w:p>
    <w:p>
      <w:r>
        <w:t>Proposed assumption: CEO, CFO and at least three other listed members, including the executive accountable for the decision.</w:t>
      </w:r>
    </w:p>
    <w:p>
      <w:pPr>
        <w:pStyle w:val="Heading2"/>
      </w:pPr>
      <w:r>
        <w:t>Decisions and escalation</w:t>
      </w:r>
    </w:p>
    <w:p>
      <w:r>
        <w:t>Record the recommendation and actual approval separately. Route total-envelope changes and reserved matters to the Board.</w:t>
      </w:r>
    </w:p>
    <w:p>
      <w:r>
        <w:t>The chair identifies whether each item is for decision, recommendation, challenge or information. Record the applicable delegation, evidence considered, alternatives, conditions, accountable owner and due date. If quorum or evidence is incomplete, record the item as deferred rather than retrospectively approved.</w:t>
      </w:r>
    </w:p>
    <w:p>
      <w:pPr>
        <w:pStyle w:val="Heading2"/>
      </w:pPr>
      <w:r>
        <w:t>Records and follow through</w:t>
      </w:r>
    </w:p>
    <w:p>
      <w:r>
        <w:t>Proposed routine: the Coordinator issues draft minutes and actions within two working days. The chair confirms accuracy, affected owners accept actions, and the next meeting reviews overdue conditions. Retain the original paper and decision together; revisions create a new dated version. A recurring meeting does not supersede the urgent escalation rules.</w:t>
      </w:r>
    </w:p>
    <w:p>
      <w:r>
        <w:rPr>
          <w:i/>
          <w:sz w:val="16"/>
        </w:rPr>
        <w:t>Source: SRC10: Office and governance, sections 14 and 18; proposed operating terms. All case evidence is fictional.</w:t>
      </w:r>
    </w:p>
    <w:p>
      <w:pPr>
        <w:pStyle w:val="Heading1"/>
        <w:pageBreakBefore/>
      </w:pPr>
      <w:r>
        <w:t>Portfolio delivery review</w:t>
      </w:r>
    </w:p>
    <w:p>
      <w:r>
        <w:t>Purpose and authority: Milestones, dependency acceptance, resource conflicts, actions and escalation; no new investment authority. Cadence: Weekly. Membership: Transformation Director and eight workstream leads.</w:t>
      </w:r>
    </w:p>
    <w:p>
      <w:pPr>
        <w:pStyle w:val="Heading2"/>
      </w:pPr>
      <w:r>
        <w:t>Preparation and evidence</w:t>
      </w:r>
    </w:p>
    <w:p>
      <w:r>
        <w:t>Required inputs: Baseline and latest forecast dates; evidence links; capacity release; open dependencies and action ageing. Proposed routine: the Coordinator circulates a versioned pre-read two working days before scheduled meetings; urgent safety, cash or security matters bypass the timetable and escalate immediately.</w:t>
      </w:r>
    </w:p>
    <w:p>
      <w:pPr>
        <w:pStyle w:val="Heading2"/>
      </w:pPr>
      <w:r>
        <w:t>Quorum and attendance</w:t>
      </w:r>
    </w:p>
    <w:p>
      <w:r>
        <w:t>Proposed assumption: Transformation Director and six workstream leads, with both affected leads present for a dependency decision.</w:t>
      </w:r>
    </w:p>
    <w:p>
      <w:pPr>
        <w:pStyle w:val="Heading2"/>
      </w:pPr>
      <w:r>
        <w:t>Decisions and escalation</w:t>
      </w:r>
    </w:p>
    <w:p>
      <w:r>
        <w:t>Maintain baseline dates. Escalate a critical dependency slip above ten working days to Steering within five working days.</w:t>
      </w:r>
    </w:p>
    <w:p>
      <w:r>
        <w:t>The chair identifies whether each item is for decision, recommendation, challenge or information. Record the applicable delegation, evidence considered, alternatives, conditions, accountable owner and due date. If quorum or evidence is incomplete, record the item as deferred rather than retrospectively approved.</w:t>
      </w:r>
    </w:p>
    <w:p>
      <w:pPr>
        <w:pStyle w:val="Heading2"/>
      </w:pPr>
      <w:r>
        <w:t>Records and follow through</w:t>
      </w:r>
    </w:p>
    <w:p>
      <w:r>
        <w:t>Proposed routine: the Coordinator issues draft minutes and actions within two working days. The chair confirms accuracy, affected owners accept actions, and the next meeting reviews overdue conditions. Retain the original paper and decision together; revisions create a new dated version. A recurring meeting does not supersede the urgent escalation rules.</w:t>
      </w:r>
    </w:p>
    <w:p>
      <w:r>
        <w:rPr>
          <w:i/>
          <w:sz w:val="16"/>
        </w:rPr>
        <w:t>Source: SRC10: Office and governance, sections 14 and 18; proposed operating terms. All case evidence is fictional.</w:t>
      </w:r>
    </w:p>
    <w:p>
      <w:pPr>
        <w:pStyle w:val="Heading1"/>
        <w:pageBreakBefore/>
      </w:pPr>
      <w:r>
        <w:t>Benefits and cash review</w:t>
      </w:r>
    </w:p>
    <w:p>
      <w:r>
        <w:t>Purpose and authority: Finance validation, forecast challenge and cash exposure; benefit delivery stays with line executives. Cadence: Monthly for benefits; weekly for cash. Membership: CFO, benefit owners and Transformation Office analysts.</w:t>
      </w:r>
    </w:p>
    <w:p>
      <w:pPr>
        <w:pStyle w:val="Heading2"/>
      </w:pPr>
      <w:r>
        <w:t>Preparation and evidence</w:t>
      </w:r>
    </w:p>
    <w:p>
      <w:r>
        <w:t>Required inputs: Baseline comparator; volume adjustment; ledger change; implementation date; overlap check; rolling 13-week cash forecast. Proposed routine: the Coordinator circulates a versioned pre-read two working days before scheduled meetings; urgent safety, cash or security matters bypass the timetable and escalate immediately.</w:t>
      </w:r>
    </w:p>
    <w:p>
      <w:pPr>
        <w:pStyle w:val="Heading2"/>
      </w:pPr>
      <w:r>
        <w:t>Quorum and attendance</w:t>
      </w:r>
    </w:p>
    <w:p>
      <w:r>
        <w:t>Proposed assumption: CFO or delegated Finance chair, the relevant benefit owner and a Finance controller. Cash-floor decisions require CFO involvement.</w:t>
      </w:r>
    </w:p>
    <w:p>
      <w:pPr>
        <w:pStyle w:val="Heading2"/>
      </w:pPr>
      <w:r>
        <w:t>Decisions and escalation</w:t>
      </w:r>
    </w:p>
    <w:p>
      <w:r>
        <w:t>Assign identified, validated, committed, implemented or realised status. Escalate any forecast cash week below 8.00 immediately.</w:t>
      </w:r>
    </w:p>
    <w:p>
      <w:r>
        <w:t>The chair identifies whether each item is for decision, recommendation, challenge or information. Record the applicable delegation, evidence considered, alternatives, conditions, accountable owner and due date. If quorum or evidence is incomplete, record the item as deferred rather than retrospectively approved.</w:t>
      </w:r>
    </w:p>
    <w:p>
      <w:pPr>
        <w:pStyle w:val="Heading2"/>
      </w:pPr>
      <w:r>
        <w:t>Records and follow through</w:t>
      </w:r>
    </w:p>
    <w:p>
      <w:r>
        <w:t>Proposed routine: the Coordinator issues draft minutes and actions within two working days. The chair confirms accuracy, affected owners accept actions, and the next meeting reviews overdue conditions. Retain the original paper and decision together; revisions create a new dated version. A recurring meeting does not supersede the urgent escalation rules.</w:t>
      </w:r>
    </w:p>
    <w:p>
      <w:r>
        <w:rPr>
          <w:i/>
          <w:sz w:val="16"/>
        </w:rPr>
        <w:t>Source: SRC10: Office and governance, sections 14 and 18; proposed operating terms. All case evidence is fictional.</w:t>
      </w:r>
    </w:p>
    <w:p>
      <w:pPr>
        <w:pStyle w:val="Heading1"/>
        <w:pageBreakBefore/>
      </w:pPr>
      <w:r>
        <w:t>Service design and control review</w:t>
      </w:r>
    </w:p>
    <w:p>
      <w:r>
        <w:t>Purpose and authority: Service and technical readiness, controlled exceptions, pilot safeguards and rollback. Cadence: Fortnightly during rollout. Membership: COO and CIO with process, security and HR leads.</w:t>
      </w:r>
    </w:p>
    <w:p>
      <w:pPr>
        <w:pStyle w:val="Heading2"/>
      </w:pPr>
      <w:r>
        <w:t>Preparation and evidence</w:t>
      </w:r>
    </w:p>
    <w:p>
      <w:r>
        <w:t>Required inputs: Process version; training; mapping completeness; separate hub results; incidents; security tests; rollback readiness. Proposed routine: the Coordinator circulates a versioned pre-read two working days before scheduled meetings; urgent safety, cash or security matters bypass the timetable and escalate immediately.</w:t>
      </w:r>
    </w:p>
    <w:p>
      <w:pPr>
        <w:pStyle w:val="Heading2"/>
      </w:pPr>
      <w:r>
        <w:t>Quorum and attendance</w:t>
      </w:r>
    </w:p>
    <w:p>
      <w:r>
        <w:t>Proposed assumption: COO and CIO, or formally delegated chairs, plus process and relevant control leads. Do not waive a control owner for convenience.</w:t>
      </w:r>
    </w:p>
    <w:p>
      <w:pPr>
        <w:pStyle w:val="Heading2"/>
      </w:pPr>
      <w:r>
        <w:t>Decisions and escalation</w:t>
      </w:r>
    </w:p>
    <w:p>
      <w:r>
        <w:t>Record each pilot gate separately. Hold expansion and dependent workforce changes until four compliant weeks and control acceptance.</w:t>
      </w:r>
    </w:p>
    <w:p>
      <w:r>
        <w:t>The chair identifies whether each item is for decision, recommendation, challenge or information. Record the applicable delegation, evidence considered, alternatives, conditions, accountable owner and due date. If quorum or evidence is incomplete, record the item as deferred rather than retrospectively approved.</w:t>
      </w:r>
    </w:p>
    <w:p>
      <w:pPr>
        <w:pStyle w:val="Heading2"/>
      </w:pPr>
      <w:r>
        <w:t>Records and follow through</w:t>
      </w:r>
    </w:p>
    <w:p>
      <w:r>
        <w:t>Proposed routine: the Coordinator issues draft minutes and actions within two working days. The chair confirms accuracy, affected owners accept actions, and the next meeting reviews overdue conditions. Retain the original paper and decision together; revisions create a new dated version. A recurring meeting does not supersede the urgent escalation rules.</w:t>
      </w:r>
    </w:p>
    <w:p>
      <w:r>
        <w:rPr>
          <w:i/>
          <w:sz w:val="16"/>
        </w:rPr>
        <w:t>Source: SRC10: Office and governance, sections 14 and 18; proposed operating terms. All case evidence is fictional.</w:t>
      </w:r>
    </w:p>
    <w:p>
      <w:pPr>
        <w:pStyle w:val="Heading1"/>
        <w:pageBreakBefore/>
      </w:pPr>
      <w:r>
        <w:t>Intake and portfolio prioritisation</w:t>
      </w:r>
    </w:p>
    <w:p>
      <w:r>
        <w:t>The sponsor submits the problem, accountable owner, intended outcome, estimate, capacity demand, dependencies, benefit classification and risks. The Portfolio Manager checks completeness and assigns the stable initiative ID. Acme already has I01-I16; additions need explicit change control rather than an untracked side project.</w:t>
      </w:r>
    </w:p>
    <w:p>
      <w:r>
        <w:t>Proposed prioritisation sequence: identify mandatory service and control prerequisites, assess contribution to the approved objectives, test cash affordability and released capacity, then sequence enabling dependencies. Do not fabricate initiative-level financial rankings when only category budgets exist. Record trade-offs in a decision paper for the CEO or reserved authority.</w:t>
      </w:r>
    </w:p>
    <w:p>
      <w:r>
        <w:t>A complete intake is not approval. Diagnostic work validates the baseline and benefit boundary before investment authority is requested. The office returns weak submissions with the missing evidence stated. The current work-in-progress limit remains two operating pilots and one common data foundation during Q1.</w:t>
      </w:r>
    </w:p>
    <w:tbl>
      <w:tblPr>
        <w:tblW w:type="auto" w:w="0"/>
        <w:jc w:val="center"/>
        <w:tblLayout w:type="fixed"/>
        <w:tblLook w:firstColumn="1" w:firstRow="1" w:lastColumn="0" w:lastRow="0" w:noHBand="0" w:noVBand="1" w:val="04A0"/>
      </w:tblPr>
      <w:tblGrid>
        <w:gridCol w:w="2893"/>
        <w:gridCol w:w="6942"/>
      </w:tblGrid>
      <w:tr>
        <w:trPr>
          <w:cantSplit/>
          <w:tblHeader/>
        </w:trPr>
        <w:tc>
          <w:tcPr>
            <w:tcW w:type="dxa" w:w="2893"/>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Acme intake example</w:t>
            </w:r>
          </w:p>
        </w:tc>
        <w:tc>
          <w:tcPr>
            <w:tcW w:type="dxa" w:w="6942"/>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Treatment</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I11 common data</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Enabling prerequisite for comparable pilot measures; no separate benefit booking.</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I03 dispatch pilots</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Two hubs; B06 owner; service and rollback evidence required.</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I04 position redesign</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Depends on I03 and I13; no cost removal before service acceptance.</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Additional hub technology rollout</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Defer in Q1 unless an authorised scope and capacity decision changes the limit.</w:t>
            </w:r>
          </w:p>
        </w:tc>
      </w:tr>
    </w:tbl>
    <w:p>
      <w:pPr>
        <w:spacing w:after="0" w:line="60" w:lineRule="exact"/>
      </w:pPr>
      <w:r>
        <w:rPr>
          <w:sz w:val="4"/>
        </w:rPr>
        <w:t xml:space="preserve"> </w:t>
      </w:r>
    </w:p>
    <w:p>
      <w:r>
        <w:t>Proposed output: accepted intake, diagnostic scope, sponsor, evidence due date and funding status. The portfolio review monitors progress without presenting an intake decision as an approved business case.</w:t>
      </w:r>
    </w:p>
    <w:p>
      <w:r>
        <w:rPr>
          <w:i/>
          <w:sz w:val="16"/>
        </w:rPr>
        <w:t>Source: SRC08: Workstreams and portfolio, section 11; SRC10: Office and governance, sections 14 and 18; proposed procedure. All case evidence is fictional.</w:t>
      </w:r>
    </w:p>
    <w:p>
      <w:pPr>
        <w:pStyle w:val="Heading1"/>
        <w:pageBreakBefore/>
      </w:pPr>
      <w:r>
        <w:t>Stage gates and evidence checklist</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Gate</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Required evidence</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Authority and outcome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Intake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Problem, owner, outcome, cost estimate, capacity, dependency, benefit class, risks</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Office checks completeness; sponsor accepts assessment.</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Diagnostic validation</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Reconciled baseline, definitions, root cause and remaining limitations</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Accountable executive with Finance challenge.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Business case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Options, incremental money, service safeguards, funded capacity and conditions</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Relevant delegated funding authority. No self-approval by the office.</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Pilot readiness</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Approved process, training, data mapping, control checks and rollback</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and CIO for service/technical readiness; funding separately authorised.</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Rollout</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Four compliant weeks in each pilot, control evidence, next-wave capacity and cash</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Accountable executives and relevant funding authority.</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Closure</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Business owner accepts controls, residual risks and forecast benefits</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programme closure; Finance retains benefit assurance.</w:t>
            </w:r>
          </w:p>
        </w:tc>
      </w:tr>
    </w:tbl>
    <w:p>
      <w:pPr>
        <w:spacing w:after="0" w:line="60" w:lineRule="exact"/>
      </w:pPr>
      <w:r>
        <w:rPr>
          <w:sz w:val="4"/>
        </w:rPr>
        <w:t xml:space="preserve"> </w:t>
      </w:r>
    </w:p>
    <w:p>
      <w:r>
        <w:t>Each gate records one outcome: approve, approve with conditions, rework, defer or stop. Conditions need an owner and date. The relevant funding authority remains separate from the office's completeness check and from technical readiness. No gate retrospectively converts an unsupported baseline into validated evidence.</w:t>
      </w:r>
    </w:p>
    <w:p>
      <w:r>
        <w:t>For I03, the readiness checklist includes agreed process, skills, mapping completeness, reconciled denominators, security review, service baseline and rollback. At rollout, both hubs require four consecutive compliant weeks. A green combined average cannot compensate for a failing hub.</w:t>
      </w:r>
    </w:p>
    <w:p>
      <w:r>
        <w:rPr>
          <w:i/>
          <w:sz w:val="16"/>
        </w:rPr>
        <w:t>Source: SRC10: Office and governance, sections 14 and 18; SRC08: Workstreams and portfolio, section 11. All case evidence is fictional.</w:t>
      </w:r>
    </w:p>
    <w:p>
      <w:pPr>
        <w:pStyle w:val="Heading1"/>
        <w:pageBreakBefore/>
      </w:pPr>
      <w:r>
        <w:t>Change control and delegated thresholds</w:t>
      </w:r>
    </w:p>
    <w:p>
      <w:r>
        <w:t>A change request states the reason, affected scope and milestones, cost classification, recurring cost, benefit consequence, cash timing, service safeguards, capacity and dependency effects. The Portfolio Manager checks related requests for aggregation before presenting the appropriate decision route.</w:t>
      </w:r>
    </w:p>
    <w:tbl>
      <w:tblPr>
        <w:tblW w:type="auto" w:w="0"/>
        <w:jc w:val="center"/>
        <w:tblLayout w:type="fixed"/>
        <w:tblLook w:firstColumn="1" w:firstRow="1" w:lastColumn="0" w:lastRow="0" w:noHBand="0" w:noVBand="1" w:val="04A0"/>
      </w:tblPr>
      <w:tblGrid>
        <w:gridCol w:w="2893"/>
        <w:gridCol w:w="6942"/>
      </w:tblGrid>
      <w:tr>
        <w:trPr>
          <w:cantSplit/>
          <w:tblHeader/>
        </w:trPr>
        <w:tc>
          <w:tcPr>
            <w:tcW w:type="dxa" w:w="2893"/>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Authority</w:t>
            </w:r>
          </w:p>
        </w:tc>
        <w:tc>
          <w:tcPr>
            <w:tcW w:type="dxa" w:w="6942"/>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Exact boundary</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Envelope changes; reserved strategic scope; acquisitions; country entry; exits above 2.00 annual revenue per customer relationship.</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Reallocation up to 0.50 per request within a released tranche, with envelope and safeguards unchanged.</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and relevant executive</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Routine change up to 0.10 within the workstream's released budget.</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Office</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Facilitates and records. No independent investment approval.</w:t>
            </w:r>
          </w:p>
        </w:tc>
      </w:tr>
    </w:tbl>
    <w:p>
      <w:pPr>
        <w:spacing w:after="0" w:line="60" w:lineRule="exact"/>
      </w:pPr>
      <w:r>
        <w:rPr>
          <w:sz w:val="4"/>
        </w:rPr>
        <w:t xml:space="preserve"> </w:t>
      </w:r>
    </w:p>
    <w:p>
      <w:r>
        <w:t>The Governance Coordinator links the approved change to the baseline version, decision ID, conditions and revised forecast. Work starts only when authority and release conditions are satisfied. Unapproved requests remain visible in the register but do not alter the funding baseline.</w:t>
      </w:r>
    </w:p>
    <w:p>
      <w:r>
        <w:t>Any forecast week below the 8.00 cash floor escalates immediately to the CEO and accountable executive. The CFO freezes discretionary commitments while the authority considers funding or scope. The downside's 20.70 investment cannot be absorbed by the base approval or by splitting requests.</w:t>
      </w:r>
    </w:p>
    <w:p>
      <w:r>
        <w:rPr>
          <w:i/>
          <w:sz w:val="16"/>
        </w:rPr>
        <w:t>Source: SRC10: Office and governance, sections 14 and 18; SRC06: Investment and cash, section 9; proposed procedure. All case evidence is fictional.</w:t>
      </w:r>
    </w:p>
    <w:p>
      <w:pPr>
        <w:pStyle w:val="Heading1"/>
        <w:pageBreakBefore/>
      </w:pPr>
      <w:r>
        <w:t>Benefit validation and overlap control</w:t>
      </w:r>
    </w:p>
    <w:p>
      <w:r>
        <w:t>The benefit owner submits a profile with one principal initiative, category, baseline, formula, timing and exclusions. The office maintains the ledger. Finance checks comparator, volume and mix, actual ledger movement, implementation date and overlap. Supporting initiatives retain an enabling role and book no duplicate value.</w:t>
      </w:r>
    </w:p>
    <w:tbl>
      <w:tblPr>
        <w:tblW w:type="auto" w:w="0"/>
        <w:jc w:val="center"/>
        <w:tblLayout w:type="fixed"/>
        <w:tblLook w:firstColumn="1" w:firstRow="1" w:lastColumn="0" w:lastRow="0" w:noHBand="0" w:noVBand="1" w:val="04A0"/>
      </w:tblPr>
      <w:tblGrid>
        <w:gridCol w:w="4268"/>
        <w:gridCol w:w="1856"/>
        <w:gridCol w:w="1856"/>
        <w:gridCol w:w="1856"/>
      </w:tblGrid>
      <w:tr>
        <w:trPr>
          <w:cantSplit/>
          <w:tblHeader/>
        </w:trPr>
        <w:tc>
          <w:tcPr>
            <w:tcW w:type="dxa" w:w="4268"/>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 and benefit</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2027 benefit</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2028 benefit</w:t>
            </w:r>
          </w:p>
        </w:tc>
        <w:tc>
          <w:tcPr>
            <w:tcW w:type="dxa" w:w="1856"/>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Exit annual benefit</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B01 Contract repricing</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2.40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4.32</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4.80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B02 Cross-sell to existing customers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1.05</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3.15</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4.20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B03 Exit selected loss-making scope</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0.25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0.75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B04 Cashable workforce productivity</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2.40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5.10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6.00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B05 Procurement savings</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1.80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4.05</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4.50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B06 Lower service recovery costs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2.70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3.00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B07 Property and technology rationalisation</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1.60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2.24</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3.20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B08 Overhead and shared-service controls</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1.30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1.69</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2.30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Gross EBITDA benefit</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12.00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24.00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29.00</w:t>
            </w:r>
          </w:p>
        </w:tc>
      </w:tr>
      <w:tr>
        <w:trPr>
          <w:cantSplit/>
        </w:trPr>
        <w:tc>
          <w:tcPr>
            <w:tcW w:type="dxa" w:w="4268"/>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New recurring cost</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(1.50)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(3.00)</w:t>
            </w:r>
          </w:p>
        </w:tc>
        <w:tc>
          <w:tcPr>
            <w:tcW w:type="dxa" w:w="1856"/>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(3.00)</w:t>
            </w:r>
          </w:p>
        </w:tc>
      </w:tr>
      <w:tr>
        <w:trPr>
          <w:cantSplit/>
        </w:trPr>
        <w:tc>
          <w:tcPr>
            <w:tcW w:type="dxa" w:w="4268"/>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Net EBITDA improvement</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10.50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21.00</w:t>
            </w:r>
          </w:p>
        </w:tc>
        <w:tc>
          <w:tcPr>
            <w:tcW w:type="dxa" w:w="1856"/>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26.00</w:t>
            </w:r>
          </w:p>
        </w:tc>
      </w:tr>
    </w:tbl>
    <w:p>
      <w:pPr>
        <w:spacing w:after="0" w:line="60" w:lineRule="exact"/>
      </w:pPr>
      <w:r>
        <w:rPr>
          <w:sz w:val="4"/>
        </w:rPr>
        <w:t xml:space="preserve"> </w:t>
      </w:r>
    </w:p>
    <w:p>
      <w:r>
        <w:t>Use identified, validated, committed, implemented and realised as distinct stages. A signed contract supports a forecast; only recognised incremental contribution or a ledger-supported, volume-adjusted cost reduction is realised EBITDA. Working-capital release has its own balance bridge and cannot enter the profit total.</w:t>
      </w:r>
    </w:p>
    <w:p>
      <w:r>
        <w:t>The exit total is 29.00 gross and 26.00 net after 3.00 recurring cost. The two-year gross benefit is 36.00 because phasing matters. These different bases require explicit labels in every report.</w:t>
      </w:r>
    </w:p>
    <w:p>
      <w:r>
        <w:rPr>
          <w:i/>
          <w:sz w:val="16"/>
        </w:rPr>
        <w:t>Source: SRC05: Benefits and profit bridge, section 8; SRC06: Investment and cash, section 9; proposed procedure. All case evidence is fictional.</w:t>
      </w:r>
    </w:p>
    <w:p>
      <w:pPr>
        <w:pStyle w:val="Heading1"/>
        <w:pageBreakBefore/>
      </w:pPr>
      <w:r>
        <w:t>Completed benefit profile B04</w:t>
      </w:r>
    </w:p>
    <w:p>
      <w:r>
        <w:t>Benefit profile example B04: owner, COO; baseline cost category, direct employee expense; annual target, 6.00; formula, 50 funded positions at 0.12 each; classification, recurring cashable operating saving; recognition, after paid cost is removed and service conditions met; excluded value, 20 redeployed roles and avoided future hiring; delivery dependencies, I03 and I13; validation, Finance compares payroll and funded-position records with the approved baseline. Do not fabricate an initiative-level approved budget where only a category allocation is supplied.</w:t>
      </w:r>
    </w:p>
    <w:tbl>
      <w:tblPr>
        <w:tblW w:type="auto" w:w="0"/>
        <w:jc w:val="center"/>
        <w:tblLayout w:type="fixed"/>
        <w:tblLook w:firstColumn="1" w:firstRow="1" w:lastColumn="0" w:lastRow="0" w:noHBand="0" w:noVBand="1" w:val="04A0"/>
      </w:tblPr>
      <w:tblGrid>
        <w:gridCol w:w="2893"/>
        <w:gridCol w:w="6942"/>
      </w:tblGrid>
      <w:tr>
        <w:trPr>
          <w:cantSplit/>
          <w:tblHeader/>
        </w:trPr>
        <w:tc>
          <w:tcPr>
            <w:tcW w:type="dxa" w:w="2893"/>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Field</w:t>
            </w:r>
          </w:p>
        </w:tc>
        <w:tc>
          <w:tcPr>
            <w:tcW w:type="dxa" w:w="6942"/>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Populated Acme profile</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Principal initiative</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I04 Workforce and capacity redesign</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Accountable owner</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Full annual calculation</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50 funded positions × 0.12 = 6.00</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In-period targets</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2.40 in 2027; 5.10 in 2028</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Excluded value</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 redeployed roles, avoided hiring and mere utilisation gains</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Dependencies</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I03 compliant service evidence; I13 skills; HR review</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Finance evidence</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Approved baseline, paid-cost removal, funded-position and payroll reconciliation</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Baseline status</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Proposed; no actual savings or individual employee decision</w:t>
            </w:r>
          </w:p>
        </w:tc>
      </w:tr>
    </w:tbl>
    <w:p>
      <w:pPr>
        <w:spacing w:after="0" w:line="60" w:lineRule="exact"/>
      </w:pPr>
      <w:r>
        <w:rPr>
          <w:sz w:val="4"/>
        </w:rPr>
        <w:t xml:space="preserve"> </w:t>
      </w:r>
    </w:p>
    <w:p>
      <w:r>
        <w:t>Proposed monthly control: the owner identifies positions whose funded cost has actually left the ledger, confirms continuing service coverage and records exceptions. Finance checks the cost category and overlap with service recovery and procurement. A forecast reduction remains a forecast until paid cost and service evidence support recognition.</w:t>
      </w:r>
    </w:p>
    <w:p>
      <w:r>
        <w:rPr>
          <w:i/>
          <w:sz w:val="16"/>
        </w:rPr>
        <w:t>Source: SRC05: Benefits and profit bridge, section 8; section 20 completed example. All case evidence is fictional.</w:t>
      </w:r>
    </w:p>
    <w:p>
      <w:pPr>
        <w:pStyle w:val="Heading1"/>
        <w:pageBreakBefore/>
      </w:pPr>
      <w:r>
        <w:t>Reporting and the monthly executive pack</w:t>
      </w:r>
    </w:p>
    <w:p>
      <w:r>
        <w:t>Use one dated pack for decisions, financial bridge, realised-versus-forecast benefits, milestone exceptions, service scorecard, cash, risks, capacity conflicts and actions. Every material measure carries an owner and source snapshot. A new month creates a new version and preserves the prior view.</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Section</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Acme baseline entry</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Required management action</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Decision summary</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D01 proposed; 18.00 envelope and 3.50 release</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Record authority and outstanding cash/capacity conditions.</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Money</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FY2026 forecast EBITDA 10.00; exit target 36.00</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Keep 31.00 FY2028 underlying and 28.00 reported separate.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Benefits and cash</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Q1 benefit 0.90; net programme cash negative 2.75</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Show full liquidity forecast as missing until supplied.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Delivery</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Two pilots; I11 precedes I03/I12</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Raise dependency and readiness exceptions.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Capacity and risk</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32 internal FTE not yet released; R03 high</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 resource decision and CFO cash control.</w:t>
            </w:r>
          </w:p>
        </w:tc>
      </w:tr>
    </w:tbl>
    <w:p>
      <w:pPr>
        <w:spacing w:after="0" w:line="60" w:lineRule="exact"/>
      </w:pPr>
      <w:r>
        <w:rPr>
          <w:sz w:val="4"/>
        </w:rPr>
        <w:t xml:space="preserve"> </w:t>
      </w:r>
    </w:p>
    <w:p>
      <w:r>
        <w:t>Proposed status report fields are initiative ID, reporting date, baseline milestone, forecast milestone, acceptance evidence, cost and benefit status, dependencies, risks, decision requested and next action. The workbook includes an I03 example. At the baseline, actual performance remains unavailable; it must not default to zero or green.</w:t>
      </w:r>
    </w:p>
    <w:p>
      <w:r>
        <w:rPr>
          <w:i/>
          <w:sz w:val="16"/>
        </w:rPr>
        <w:t>Source: SRC10: Office and governance, sections 14 and 18; SRC11: Performance measures, section 15; proposed procedure. All case evidence is fictional.</w:t>
      </w:r>
    </w:p>
    <w:p>
      <w:pPr>
        <w:pStyle w:val="Heading1"/>
        <w:pageBreakBefore/>
      </w:pPr>
      <w:r>
        <w:t>Measures and status rules</w:t>
      </w:r>
    </w:p>
    <w:tbl>
      <w:tblPr>
        <w:tblW w:type="auto" w:w="0"/>
        <w:jc w:val="center"/>
        <w:tblLayout w:type="fixed"/>
        <w:tblLook w:firstColumn="1" w:firstRow="1" w:lastColumn="0" w:lastRow="0" w:noHBand="0" w:noVBand="1" w:val="04A0"/>
      </w:tblPr>
      <w:tblGrid>
        <w:gridCol w:w="3099"/>
        <w:gridCol w:w="1347"/>
        <w:gridCol w:w="1347"/>
        <w:gridCol w:w="1347"/>
        <w:gridCol w:w="1347"/>
        <w:gridCol w:w="1347"/>
      </w:tblGrid>
      <w:tr>
        <w:trPr>
          <w:cantSplit/>
          <w:tblHeader/>
        </w:trPr>
        <w:tc>
          <w:tcPr>
            <w:tcW w:type="dxa" w:w="3099"/>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Measure</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Baseline</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Day 90 target</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End 2027 target</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Exit target</w:t>
            </w:r>
          </w:p>
        </w:tc>
        <w:tc>
          <w:tcPr>
            <w:tcW w:type="dxa" w:w="134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Owner</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Underlying EBITDA</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10.00 FY26</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Quarterly benefits separately</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20.50 in year</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36.00 annual run rate</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SLA attainment</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84%</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88%</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92%</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95%</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First-time resolution</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71%</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75%</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86%</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Customer satisfaction</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68%</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72%</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77%</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82%</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CCO</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Productive utilisation</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62%</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65%</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69%</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74%</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DSO</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92 days</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88 days</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82 days</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74 days</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Regretted voluntary turnover</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22%</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20%</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17%</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14%</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CHRO</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Eligible workflow adoption</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18%</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40%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75%</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90%</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CIO</w:t>
            </w:r>
          </w:p>
        </w:tc>
      </w:tr>
      <w:tr>
        <w:trPr>
          <w:cantSplit/>
        </w:trPr>
        <w:tc>
          <w:tcPr>
            <w:tcW w:type="dxa" w:w="3099"/>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Management close</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12 workdays</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 workdays</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6 workdays</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5 workdays</w:t>
            </w:r>
          </w:p>
        </w:tc>
        <w:tc>
          <w:tcPr>
            <w:tcW w:type="dxa" w:w="134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w:t>
            </w:r>
          </w:p>
        </w:tc>
      </w:tr>
      <w:tr>
        <w:trPr>
          <w:cantSplit/>
        </w:trPr>
        <w:tc>
          <w:tcPr>
            <w:tcW w:type="dxa" w:w="3099"/>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First-pass invoice accuracy</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89%</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93%</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96%</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98%</w:t>
            </w:r>
          </w:p>
        </w:tc>
        <w:tc>
          <w:tcPr>
            <w:tcW w:type="dxa" w:w="134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w:t>
            </w:r>
          </w:p>
        </w:tc>
      </w:tr>
    </w:tbl>
    <w:p>
      <w:pPr>
        <w:spacing w:after="0" w:line="60" w:lineRule="exact"/>
      </w:pPr>
      <w:r>
        <w:rPr>
          <w:sz w:val="4"/>
        </w:rPr>
        <w:t xml:space="preserve"> </w:t>
      </w:r>
    </w:p>
    <w:p>
      <w:r>
        <w:t>Definitions travel with the scorecard. Utilisation includes relevant paid travel and training; first-time resolution has a separate eligible population; DSO uses receivables and the relevant annualised revenue. Keep the 62% versus 69% definition conflict visible until resolved. Survey response rate remains missing.</w:t>
      </w:r>
    </w:p>
    <w:p>
      <w:r>
        <w:t>Higher-is-better measures are red more than five percentage points below the current target and amber for smaller shortfalls. DSO is red more than five days above target. Benefits are red more than 10% below plan. Critical safety or control breaches override aggregate green status. The two pilot gates require separate evidence for each hub.</w:t>
      </w:r>
    </w:p>
    <w:p>
      <w:r>
        <w:rPr>
          <w:i/>
          <w:sz w:val="16"/>
        </w:rPr>
        <w:t>Source: SRC11: Performance measures, section 15. All case evidence is fictional.</w:t>
      </w:r>
    </w:p>
    <w:p>
      <w:pPr>
        <w:pStyle w:val="Heading1"/>
        <w:pageBreakBefore/>
      </w:pPr>
      <w:r>
        <w:t>Risk issue and dependency procedures</w:t>
      </w:r>
    </w:p>
    <w:tbl>
      <w:tblPr>
        <w:tblW w:type="auto" w:w="0"/>
        <w:jc w:val="center"/>
        <w:tblLayout w:type="fixed"/>
        <w:tblLook w:firstColumn="1" w:firstRow="1" w:lastColumn="0" w:lastRow="0" w:noHBand="0" w:noVBand="1" w:val="04A0"/>
      </w:tblPr>
      <w:tblGrid>
        <w:gridCol w:w="984"/>
        <w:gridCol w:w="2754"/>
        <w:gridCol w:w="2754"/>
        <w:gridCol w:w="3344"/>
      </w:tblGrid>
      <w:tr>
        <w:trPr>
          <w:cantSplit/>
          <w:tblHeader/>
        </w:trPr>
        <w:tc>
          <w:tcPr>
            <w:tcW w:type="dxa" w:w="98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Risk and score</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Trigger</w:t>
            </w:r>
          </w:p>
        </w:tc>
        <w:tc>
          <w:tcPr>
            <w:tcW w:type="dxa" w:w="334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Owner and response</w:t>
            </w:r>
          </w:p>
        </w:tc>
      </w:tr>
      <w:tr>
        <w:trPr>
          <w:cantSplit/>
        </w:trPr>
        <w:tc>
          <w:tcPr>
            <w:tcW w:type="dxa" w:w="98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R01</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Service disruption, 4 x 5 = 20</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Pilot SLA falls below baseline or a critical commitment is missed</w:t>
            </w:r>
          </w:p>
        </w:tc>
        <w:tc>
          <w:tcPr>
            <w:tcW w:type="dxa" w:w="334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stop rollout, restore coverage and activate rollback</w:t>
            </w:r>
          </w:p>
        </w:tc>
      </w:tr>
      <w:tr>
        <w:trPr>
          <w:cantSplit/>
        </w:trPr>
        <w:tc>
          <w:tcPr>
            <w:tcW w:type="dxa" w:w="98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R02</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Benefits overlap or fail validation, 4 x 4 = 16</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Unsupported ledger entries or realised benefit more than 10% below plan</w:t>
            </w:r>
          </w:p>
        </w:tc>
        <w:tc>
          <w:tcPr>
            <w:tcW w:type="dxa" w:w="334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reject duplicate claims and require a recovery forecast</w:t>
            </w:r>
          </w:p>
        </w:tc>
      </w:tr>
      <w:tr>
        <w:trPr>
          <w:cantSplit/>
        </w:trPr>
        <w:tc>
          <w:tcPr>
            <w:tcW w:type="dxa" w:w="98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R03</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Cash falls below policy floor, 3 x 5 = 15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Any week in the 13-week forecast is below 8.00</w:t>
            </w:r>
          </w:p>
        </w:tc>
        <w:tc>
          <w:tcPr>
            <w:tcW w:type="dxa" w:w="334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freeze discretionary commitments and escalate funding decision</w:t>
            </w:r>
          </w:p>
        </w:tc>
      </w:tr>
      <w:tr>
        <w:trPr>
          <w:cantSplit/>
        </w:trPr>
        <w:tc>
          <w:tcPr>
            <w:tcW w:type="dxa" w:w="98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R04</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Customer loss after repricing, 3 x 5 = 15</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Material renewal declines or top-ten customer threatens exit</w:t>
            </w:r>
          </w:p>
        </w:tc>
        <w:tc>
          <w:tcPr>
            <w:tcW w:type="dxa" w:w="334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CCO: account intervention and revise effective price benefit</w:t>
            </w:r>
          </w:p>
        </w:tc>
      </w:tr>
      <w:tr>
        <w:trPr>
          <w:cantSplit/>
        </w:trPr>
        <w:tc>
          <w:tcPr>
            <w:tcW w:type="dxa" w:w="98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Workforce capacity removed too early, 3 x 5 = 15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Overtime, backlog or complaints rise after roster changes</w:t>
            </w:r>
          </w:p>
        </w:tc>
        <w:tc>
          <w:tcPr>
            <w:tcW w:type="dxa" w:w="334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and CHRO: pause position release and restore capacity</w:t>
            </w:r>
          </w:p>
        </w:tc>
      </w:tr>
      <w:tr>
        <w:trPr>
          <w:cantSplit/>
        </w:trPr>
        <w:tc>
          <w:tcPr>
            <w:tcW w:type="dxa" w:w="98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R06</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Data defects undermine reporting, 4 x 4 = 16</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Pilot mapping below 98% or material baseline disagreement</w:t>
            </w:r>
          </w:p>
        </w:tc>
        <w:tc>
          <w:tcPr>
            <w:tcW w:type="dxa" w:w="334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CIO: correct source data and suspend affected decisions</w:t>
            </w:r>
          </w:p>
        </w:tc>
      </w:tr>
    </w:tbl>
    <w:p>
      <w:pPr>
        <w:spacing w:after="0" w:line="60" w:lineRule="exact"/>
      </w:pPr>
      <w:r>
        <w:rPr>
          <w:sz w:val="4"/>
        </w:rPr>
        <w:t xml:space="preserve"> </w:t>
      </w:r>
    </w:p>
    <w:p>
      <w:r>
        <w:t>The workbook retains all twelve risks. Initial likelihood and impact are inherent judgements, not probabilities. Keep residual ratings unassessed until a tested control supports a change. Record each risk's trigger, owner, prevention, response and evidence date.</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 and current issue</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Owner and due date</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Acceptance evidence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ISS01 Utilisation definition conflict</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day 15</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Use 62% of all relevant paid roster hours; explain why the local 69% is incomparable.</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ISS02 Customer and job IDs unreconciled</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CIO, day 30</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Common dictionary, at least 98% pilot mapping, no critical defects.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ISS03 Contract cost allocation incomplete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day 45</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Reconciled contract cost view with stranded costs separated.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ISS04 Internal capacity release unconfirmed</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 day 15</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Named release of 32 internal FTE, with business coverage agreed.</w:t>
            </w:r>
          </w:p>
        </w:tc>
      </w:tr>
    </w:tbl>
    <w:p>
      <w:pPr>
        <w:spacing w:after="0" w:line="60" w:lineRule="exact"/>
      </w:pPr>
      <w:r>
        <w:rPr>
          <w:sz w:val="4"/>
        </w:rPr>
        <w:t xml:space="preserve"> </w:t>
      </w:r>
    </w:p>
    <w:p>
      <w:r>
        <w:t>Current issues receive acceptance evidence and resolution dates. Dependencies receive predecessor, successor, needed-by date and acceptance owner. Escalate critical slips over ten working days to Steering within five working days. Escalate cash-floor, material safety, serious data or critical customer continuity events immediately.</w:t>
      </w:r>
    </w:p>
    <w:p>
      <w:r>
        <w:rPr>
          <w:i/>
          <w:sz w:val="16"/>
        </w:rPr>
        <w:t>Source: SRC13: Risks and issues, section 17; SRC09: First 90 days and roadmap, sections 12 and 13; proposed procedure. All case evidence is fictional.</w:t>
      </w:r>
    </w:p>
    <w:p>
      <w:pPr>
        <w:pStyle w:val="Heading1"/>
        <w:pageBreakBefore/>
      </w:pPr>
      <w:r>
        <w:t>Completed initiative charter I03</w:t>
      </w:r>
    </w:p>
    <w:p>
      <w:r>
        <w:t>Initiative charter example I03: problem, 84% company SLA and avoidable recovery cost; owner, COO; lead, Service Improvement Manager; scope, two pilot hubs and common triage/dispatch/closure; exclusions, company-wide workforce removal and ERP replacement; deliverables, approved process, trained teams, KPI baseline and pilot evaluation; start, 1 January 2027; first gate, 31 March 2027; dependencies, I11 metric definitions and I12 workflow; benefit, B06; gate, four weeks at 90% pilot SLA and 78% pilot first-time resolution with safety and customer safeguards; funding, within the service-process allocation, with initiative-specific release still to be approved.</w:t>
      </w:r>
    </w:p>
    <w:tbl>
      <w:tblPr>
        <w:tblW w:type="auto" w:w="0"/>
        <w:jc w:val="center"/>
        <w:tblLayout w:type="fixed"/>
        <w:tblLook w:firstColumn="1" w:firstRow="1" w:lastColumn="0" w:lastRow="0" w:noHBand="0" w:noVBand="1" w:val="04A0"/>
      </w:tblPr>
      <w:tblGrid>
        <w:gridCol w:w="2893"/>
        <w:gridCol w:w="6942"/>
      </w:tblGrid>
      <w:tr>
        <w:trPr>
          <w:cantSplit/>
          <w:tblHeader/>
        </w:trPr>
        <w:tc>
          <w:tcPr>
            <w:tcW w:type="dxa" w:w="2893"/>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Field</w:t>
            </w:r>
          </w:p>
        </w:tc>
        <w:tc>
          <w:tcPr>
            <w:tcW w:type="dxa" w:w="6942"/>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Populated charter</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Problem and benefit</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84% company SLA; separately coded recovery pool 8.00; principal benefit B06</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Deliverables</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Approved process, trained teams, controlled baseline and evaluation for two pilot hubs</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Schedule</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Start 1 Jan 2027; design day 30; launch day 60; first gate 31 Mar 2027</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Dependencies</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I11 definitions and I12 workflow; CHRO skills/readiness interface</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Acceptance</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Each hub sustains 90% SLA and 78% first-time resolution for four weeks; safety and complaints protected</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Funding</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Within service-process category; initiative-specific release still unapproved</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Exclusions</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Company-wide workforce removal and full ERP replacement</w:t>
            </w:r>
          </w:p>
        </w:tc>
      </w:tr>
    </w:tbl>
    <w:p>
      <w:pPr>
        <w:spacing w:after="0" w:line="60" w:lineRule="exact"/>
      </w:pPr>
      <w:r>
        <w:rPr>
          <w:sz w:val="4"/>
        </w:rPr>
        <w:t xml:space="preserve"> </w:t>
      </w:r>
    </w:p>
    <w:p>
      <w:r>
        <w:t>Proposed reusable fields: sponsor signature and date, release reference, scope revision, evidence location, gate outcome, condition owner and next review. They remain open until the actual decision occurs. The populated example demonstrates how to describe the work without manufacturing a budget or approval.</w:t>
      </w:r>
    </w:p>
    <w:p>
      <w:r>
        <w:rPr>
          <w:i/>
          <w:sz w:val="16"/>
        </w:rPr>
        <w:t>Source: SRC08: Workstreams and portfolio, section 11; section 20 completed example. All case evidence is fictional.</w:t>
      </w:r>
    </w:p>
    <w:p>
      <w:pPr>
        <w:pStyle w:val="Heading1"/>
        <w:pageBreakBefore/>
      </w:pPr>
      <w:r>
        <w:t>First thirty days of office mobilisation</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Window</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Owner</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Outputs and acceptance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Days 1-5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 and Transformation Director</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Confirm proposed mandate, decision route and office recruitment/secondment plan; log D01 conditions.</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Days 6-15</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CEO and workstream executives</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Release named 32 internal FTE; establish portfolio, dependency and decision logs; accept role responsibilities.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Days 16-23</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CIO and COO</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Challenge baseline, control metric dictionary, resolve utilisation definition and prepare pilot design.</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Days 24-30</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Transformation Director and CFO</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Run first operating cycle; reconcile receivables, cash forecast and benefit profiles; issue a decision pack with limitations.</w:t>
            </w:r>
          </w:p>
        </w:tc>
      </w:tr>
    </w:tbl>
    <w:p>
      <w:pPr>
        <w:spacing w:after="0" w:line="60" w:lineRule="exact"/>
      </w:pPr>
      <w:r>
        <w:rPr>
          <w:sz w:val="4"/>
        </w:rPr>
        <w:t xml:space="preserve"> </w:t>
      </w:r>
    </w:p>
    <w:p>
      <w:r>
        <w:t>Proposed acceptance test: take I03 through intake, dependency review and readiness planning; take B04 through a Finance challenge; record D01 and its open conditions; and trace ACT01 to receivables evidence. Check that the office can operate these routines, not just distribute templates.</w:t>
      </w:r>
    </w:p>
    <w:p>
      <w:r>
        <w:t>The first cycle fails acceptance if a funding decision lacks authority, capacity is assumed rather than released, the cash forecast omits ordinary flows or service evidence is unavailable. Record the defect and owner, preserve business cover and seek a decision on scope or timing.</w:t>
      </w:r>
    </w:p>
    <w:p>
      <w:r>
        <w:t>The case specifies day-15 and day-30 outputs. The intervening day 1-5, 6-15, 16-23 and 24-30 sequencing above is a proposed drafting assumption for establishing the office.</w:t>
      </w:r>
    </w:p>
    <w:p>
      <w:r>
        <w:rPr>
          <w:i/>
          <w:sz w:val="16"/>
        </w:rPr>
        <w:t>Source: SRC09: First 90 days and roadmap, sections 12 and 13; SRC10: Office and governance, sections 14 and 18; SRC13: Risks and issues, section 17; proposed operating schedule. All case evidence is fictional.</w:t>
      </w:r>
    </w:p>
    <w:p>
      <w:pPr>
        <w:pStyle w:val="Heading1"/>
        <w:pageBreakBefore/>
      </w:pPr>
      <w:r>
        <w:t>Handover closure and remaining decisions</w:t>
      </w:r>
    </w:p>
    <w:p>
      <w:r>
        <w:t>During Q4 2028, each business process owner accepts the current standard, trained capability, system support, reporting routine, outstanding obligations and escalation route. The Transformation Office coordinates evidence and assurance. It should not become a permanent substitute for line ownership.</w:t>
      </w:r>
    </w:p>
    <w:p>
      <w:r>
        <w:t>Finance continues verification for an agreed sustainability period. The case supplies no fixed number of months, so the closure decision must set it explicitly. Benefits that have not yet been realised remain forecasts with an owner and review date. Residual risks need explicit acceptance by the relevant authority.</w:t>
      </w:r>
    </w:p>
    <w:tbl>
      <w:tblPr>
        <w:tblW w:type="auto" w:w="0"/>
        <w:jc w:val="center"/>
        <w:tblLayout w:type="fixed"/>
        <w:tblLook w:firstColumn="1" w:firstRow="1" w:lastColumn="0" w:lastRow="0" w:noHBand="0" w:noVBand="1" w:val="04A0"/>
      </w:tblPr>
      <w:tblGrid>
        <w:gridCol w:w="2893"/>
        <w:gridCol w:w="6942"/>
      </w:tblGrid>
      <w:tr>
        <w:trPr>
          <w:cantSplit/>
          <w:tblHeader/>
        </w:trPr>
        <w:tc>
          <w:tcPr>
            <w:tcW w:type="dxa" w:w="2893"/>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Closure record</w:t>
            </w:r>
          </w:p>
        </w:tc>
        <w:tc>
          <w:tcPr>
            <w:tcW w:type="dxa" w:w="6942"/>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Acceptance requirement</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Operating controls</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Named process owner accepts standard, dashboard, data and exception route.</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Money</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Finance reconciles realised value and separates remaining forecasts; no WC/EBITDA overlap.</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People and support</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Skills, support capacity and recurring cost are owned by the business.</w:t>
            </w:r>
          </w:p>
        </w:tc>
      </w:tr>
      <w:tr>
        <w:trPr>
          <w:cantSplit/>
        </w:trPr>
        <w:tc>
          <w:tcPr>
            <w:tcW w:type="dxa" w:w="2893"/>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Residual obligations</w:t>
            </w:r>
          </w:p>
        </w:tc>
        <w:tc>
          <w:tcPr>
            <w:tcW w:type="dxa" w:w="6942"/>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Risk owner, due date and decision authority recorded.</w:t>
            </w:r>
          </w:p>
        </w:tc>
      </w:tr>
      <w:tr>
        <w:trPr>
          <w:cantSplit/>
        </w:trPr>
        <w:tc>
          <w:tcPr>
            <w:tcW w:type="dxa" w:w="2893"/>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closure</w:t>
            </w:r>
          </w:p>
        </w:tc>
        <w:tc>
          <w:tcPr>
            <w:tcW w:type="dxa" w:w="6942"/>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Explicit decision after evidence review; no automatic approval from programme end date.</w:t>
            </w:r>
          </w:p>
        </w:tc>
      </w:tr>
    </w:tbl>
    <w:p>
      <w:pPr>
        <w:spacing w:after="0" w:line="60" w:lineRule="exact"/>
      </w:pPr>
      <w:r>
        <w:rPr>
          <w:sz w:val="4"/>
        </w:rPr>
        <w:t xml:space="preserve"> </w:t>
      </w:r>
    </w:p>
    <w:p>
      <w:r>
        <w:t>Immediate open decisions remain the charter, exact external role sourcing, named capacity release, initiative-level funding, proposed meeting quorums and the complete liquidity forecast. The sample supplies working procedures and examples while preserving those limits.</w:t>
      </w:r>
    </w:p>
    <w:p>
      <w:r>
        <w:rPr>
          <w:i/>
          <w:sz w:val="16"/>
        </w:rPr>
        <w:t>Source: SRC09: First 90 days and roadmap, sections 12 and 13; SRC10: Office and governance, sections 14 and 18; SRC14: Assumptions and gaps, section 19; proposed procedure. All case evidence is fictional.</w:t>
      </w:r>
    </w:p>
    <w:p>
      <w:pPr>
        <w:pStyle w:val="Heading1"/>
        <w:pageBreakBefore/>
      </w:pPr>
      <w:r>
        <w:t>Assumptions register and decision log</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Assumption or gap</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Consequence and validation owner</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A01</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Existing business held flat before programme changes</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must develop a normalised business-as-usual forecast</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A02</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Effective repricing uplift reaches 8% on the defined pool</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CCO validates customer response, concessions and retention</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A03</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Cross-sell contribution reaches 35% after delivery cost</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and CFO confirm capacity and margin by opportunity</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A04</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Fifty funded positions can be removed without service damage</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and CHRO verify pilot evidence and role plan</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Contract exits remove 7.00 of genuinely avoidable cost</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verifies stranded costs, notice periods and transition expense</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A06</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Capital/expense split and recurring costs are valid</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CFO and CIO validate accounting treatment and supplier terms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A07</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Ten percent illustrative effective tax convention</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Replace only with an explicitly approved model assumption</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A08</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Full contingency is spent in the base model</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controls release; no speculative underspend benefit</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G01</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Monthly ordinary cash flow and debt-amortisation schedule missing</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Full liquidity sufficiency cannot be concluded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G02</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Contract-level renewal and exit dates incomplete</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Exact monthly repricing and exit phasing needs validation</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G03</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Country and entity tax analysis not supplied</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Do not produce a tax-compliance opinion</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G04</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Customer survey response rate missing</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Do not claim population representativeness</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G05</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Approved software vendor quotes absent</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Digital budget remains a planning estimate</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G06</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Detailed skill inventory and individual workforce cases absent</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Do not generate named employee action decisions</w:t>
            </w:r>
          </w:p>
        </w:tc>
      </w:tr>
    </w:tbl>
    <w:p>
      <w:pPr>
        <w:spacing w:after="0" w:line="60" w:lineRule="exact"/>
      </w:pPr>
      <w:r>
        <w:rPr>
          <w:sz w:val="4"/>
        </w:rPr>
        <w:t xml:space="preserve"> </w:t>
      </w:r>
    </w:p>
    <w:p>
      <w:pPr>
        <w:pStyle w:val="Heading2"/>
        <w:pageBreakBefore/>
      </w:pPr>
      <w:r>
        <w:t>Proposed decision log</w:t>
      </w:r>
    </w:p>
    <w:tbl>
      <w:tblPr>
        <w:tblW w:type="auto" w:w="0"/>
        <w:jc w:val="center"/>
        <w:tblLayout w:type="fixed"/>
        <w:tblLook w:firstColumn="1" w:firstRow="1" w:lastColumn="0" w:lastRow="0" w:noHBand="0" w:noVBand="1" w:val="04A0"/>
      </w:tblPr>
      <w:tblGrid>
        <w:gridCol w:w="2754"/>
        <w:gridCol w:w="2754"/>
        <w:gridCol w:w="4327"/>
      </w:tblGrid>
      <w:tr>
        <w:trPr>
          <w:cantSplit/>
          <w:tblHeader/>
        </w:trPr>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ID and decision</w:t>
            </w:r>
          </w:p>
        </w:tc>
        <w:tc>
          <w:tcPr>
            <w:tcW w:type="dxa" w:w="2754"/>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Authority and due date</w:t>
            </w:r>
          </w:p>
        </w:tc>
        <w:tc>
          <w:tcPr>
            <w:tcW w:type="dxa" w:w="4327"/>
            <w:vAlign w:val="center"/>
            <w:shd w:fill="142D43"/>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color w:val="FFFFFF"/>
                <w:sz w:val="18"/>
              </w:rPr>
              <w:t>Status and required evidence</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D01 Hybrid model, conditional 18.00 envelope and initial 3.50 release</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18 Dec 2026</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Proposed. Funding authorisation, named capacity release and cash control required.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D02 Next funding release after day 90</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funding decision, 31 Mar 2027</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Reserved. Finance baseline, service gates, funded next-wave capacity and 13-week cash forecast required.</w:t>
            </w:r>
          </w:p>
        </w:tc>
      </w:tr>
      <w:tr>
        <w:trPr>
          <w:cantSplit/>
        </w:trPr>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D03 Pilot rollout and dependent workforce changes</w:t>
            </w:r>
          </w:p>
        </w:tc>
        <w:tc>
          <w:tcPr>
            <w:tcW w:type="dxa" w:w="2754"/>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COO readiness decision; relevant funding authority</w:t>
            </w:r>
          </w:p>
        </w:tc>
        <w:tc>
          <w:tcPr>
            <w:tcW w:type="dxa" w:w="4327"/>
            <w:vAlign w:val="center"/>
            <w:shd w:fill="F3F1EC"/>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Reserved. Each pilot meets both service gates for four weeks. HR review and funded-cost evidence required.</w:t>
            </w:r>
          </w:p>
        </w:tc>
      </w:tr>
      <w:tr>
        <w:trPr>
          <w:cantSplit/>
        </w:trPr>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D04 Material scope or envelope change</w:t>
            </w:r>
          </w:p>
        </w:tc>
        <w:tc>
          <w:tcPr>
            <w:tcW w:type="dxa" w:w="2754"/>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Board, before commitment</w:t>
            </w:r>
          </w:p>
        </w:tc>
        <w:tc>
          <w:tcPr>
            <w:tcW w:type="dxa" w:w="4327"/>
            <w:vAlign w:val="center"/>
            <w:shd w:fill="FFFFFF"/>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40" w:before="40" w:line="245" w:lineRule="auto"/>
            </w:pPr>
            <w:r>
              <w:rPr>
                <w:b w:val="0"/>
                <w:color w:val="24323E"/>
                <w:sz w:val="18"/>
              </w:rPr>
              <w:t>Reserved. Scenario, cash and service consequences required. No baseline approval exists.</w:t>
            </w:r>
          </w:p>
        </w:tc>
      </w:tr>
    </w:tbl>
    <w:p>
      <w:pPr>
        <w:spacing w:after="0" w:line="60" w:lineRule="exact"/>
      </w:pPr>
      <w:r>
        <w:rPr>
          <w:sz w:val="4"/>
        </w:rPr>
        <w:t xml:space="preserve"> </w:t>
      </w:r>
    </w:p>
    <w:p>
      <w:r>
        <w:rPr>
          <w:i/>
          <w:sz w:val="16"/>
        </w:rPr>
        <w:t>Source: SRC14: Assumptions and gaps, section 19; section 20 completed examples. All case evidence is fictional.</w:t>
      </w:r>
    </w:p>
    <w:sectPr w:rsidR="00FC693F" w:rsidRPr="0006063C" w:rsidSect="00034616">
      <w:headerReference w:type="default" r:id="rId9"/>
      <w:footerReference w:type="default" r:id="rId10"/>
      <w:pgSz w:w="11909" w:h="16834"/>
      <w:pgMar w:top="1008" w:right="1037" w:bottom="1008"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Fictional demonstration  |  ACME-BASE-20261215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365E63"/>
        <w:sz w:val="16"/>
      </w:rPr>
      <w:t>ACME INTEGRATED SERVICES GROUP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60" w:line="269" w:lineRule="auto"/>
    </w:pPr>
    <w:rPr>
      <w:rFonts w:ascii="Arial" w:hAnsi="Arial"/>
      <w:color w:val="24323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Arial" w:hAnsi="Arial"/>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ascii="Arial" w:hAnsi="Arial"/>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ascii="Arial" w:hAnsi="Arial"/>
      <w:b w:val="0"/>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 Transformation Office Setup Pack</dc:title>
  <dc:subject>Fictional demonstration - proposed baseline</dc:subject>
  <dc:creator/>
  <cp:keywords>Acme, fictional demonstration, ACME-BASE-20261215</cp:keywords>
  <dc:description>generated by python-docx</dc:description>
  <cp:lastModifiedBy/>
  <cp:revision>1</cp:revision>
  <dcterms:created xsi:type="dcterms:W3CDTF">2013-12-23T23:15:00Z</dcterms:created>
  <dcterms:modified xsi:type="dcterms:W3CDTF">2013-12-23T23:15:00Z</dcterms:modified>
  <cp:category/>
</cp:coreProperties>
</file>